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12350A">
      <w:pPr>
        <w:pStyle w:val="NormalWeb"/>
        <w:ind w:right="-15"/>
        <w:jc w:val="center"/>
        <w:divId w:val="267588318"/>
        <w:rPr>
          <w:color w:val="000000"/>
        </w:rPr>
      </w:pPr>
      <w:bookmarkStart w:id="0" w:name="_GoBack"/>
      <w:bookmarkEnd w:id="0"/>
      <w:r>
        <w:rPr>
          <w:rStyle w:val="Strong"/>
          <w:color w:val="000000"/>
          <w:sz w:val="30"/>
          <w:szCs w:val="30"/>
        </w:rPr>
        <w:t>Ph</w:t>
      </w:r>
      <w:r>
        <w:rPr>
          <w:rStyle w:val="Strong"/>
          <w:color w:val="000000"/>
          <w:sz w:val="30"/>
          <w:szCs w:val="30"/>
        </w:rPr>
        <w:t>ụ</w:t>
      </w:r>
      <w:r>
        <w:rPr>
          <w:rStyle w:val="Strong"/>
          <w:color w:val="000000"/>
          <w:sz w:val="30"/>
          <w:szCs w:val="30"/>
        </w:rPr>
        <w:t xml:space="preserve"> l</w:t>
      </w:r>
      <w:r>
        <w:rPr>
          <w:rStyle w:val="Strong"/>
          <w:color w:val="000000"/>
          <w:sz w:val="30"/>
          <w:szCs w:val="30"/>
        </w:rPr>
        <w:t>ụ</w:t>
      </w:r>
      <w:r>
        <w:rPr>
          <w:rStyle w:val="Strong"/>
          <w:color w:val="000000"/>
          <w:sz w:val="30"/>
          <w:szCs w:val="30"/>
        </w:rPr>
        <w:t>c II</w:t>
      </w:r>
    </w:p>
    <w:p w:rsidR="00000000" w:rsidRDefault="0012350A">
      <w:pPr>
        <w:pStyle w:val="NormalWeb"/>
        <w:jc w:val="center"/>
        <w:divId w:val="267588318"/>
        <w:rPr>
          <w:color w:val="000000"/>
        </w:rPr>
      </w:pPr>
      <w:r>
        <w:rPr>
          <w:rStyle w:val="Strong"/>
          <w:color w:val="000000"/>
          <w:sz w:val="30"/>
          <w:szCs w:val="30"/>
        </w:rPr>
        <w:t>CHO Ý KI</w:t>
      </w:r>
      <w:r>
        <w:rPr>
          <w:rStyle w:val="Strong"/>
          <w:color w:val="000000"/>
          <w:sz w:val="30"/>
          <w:szCs w:val="30"/>
        </w:rPr>
        <w:t>Ế</w:t>
      </w:r>
      <w:r>
        <w:rPr>
          <w:rStyle w:val="Strong"/>
          <w:color w:val="000000"/>
          <w:sz w:val="30"/>
          <w:szCs w:val="30"/>
        </w:rPr>
        <w:t>N Đ</w:t>
      </w:r>
      <w:r>
        <w:rPr>
          <w:rStyle w:val="Strong"/>
          <w:color w:val="000000"/>
          <w:sz w:val="30"/>
          <w:szCs w:val="30"/>
        </w:rPr>
        <w:t>Ố</w:t>
      </w:r>
      <w:r>
        <w:rPr>
          <w:rStyle w:val="Strong"/>
          <w:color w:val="000000"/>
          <w:sz w:val="30"/>
          <w:szCs w:val="30"/>
        </w:rPr>
        <w:t>I V</w:t>
      </w:r>
      <w:r>
        <w:rPr>
          <w:rStyle w:val="Strong"/>
          <w:color w:val="000000"/>
          <w:sz w:val="30"/>
          <w:szCs w:val="30"/>
        </w:rPr>
        <w:t>Ớ</w:t>
      </w:r>
      <w:r>
        <w:rPr>
          <w:rStyle w:val="Strong"/>
          <w:color w:val="000000"/>
          <w:sz w:val="30"/>
          <w:szCs w:val="30"/>
        </w:rPr>
        <w:t>I K</w:t>
      </w:r>
      <w:r>
        <w:rPr>
          <w:rStyle w:val="Strong"/>
          <w:color w:val="000000"/>
          <w:sz w:val="30"/>
          <w:szCs w:val="30"/>
        </w:rPr>
        <w:t>Ế</w:t>
      </w:r>
      <w:r>
        <w:rPr>
          <w:rStyle w:val="Strong"/>
          <w:color w:val="000000"/>
          <w:sz w:val="30"/>
          <w:szCs w:val="30"/>
        </w:rPr>
        <w:t>T QU</w:t>
      </w:r>
      <w:r>
        <w:rPr>
          <w:rStyle w:val="Strong"/>
          <w:color w:val="000000"/>
          <w:sz w:val="30"/>
          <w:szCs w:val="30"/>
        </w:rPr>
        <w:t>Ả</w:t>
      </w:r>
      <w:r>
        <w:rPr>
          <w:rStyle w:val="Strong"/>
          <w:color w:val="000000"/>
          <w:sz w:val="30"/>
          <w:szCs w:val="30"/>
        </w:rPr>
        <w:t xml:space="preserve"> RÀ SOÁT KHÓ KHĂN, VƯ</w:t>
      </w:r>
      <w:r>
        <w:rPr>
          <w:rStyle w:val="Strong"/>
          <w:color w:val="000000"/>
          <w:sz w:val="30"/>
          <w:szCs w:val="30"/>
        </w:rPr>
        <w:t>Ớ</w:t>
      </w:r>
      <w:r>
        <w:rPr>
          <w:rStyle w:val="Strong"/>
          <w:color w:val="000000"/>
          <w:sz w:val="30"/>
          <w:szCs w:val="30"/>
        </w:rPr>
        <w:t>NG M</w:t>
      </w:r>
      <w:r>
        <w:rPr>
          <w:rStyle w:val="Strong"/>
          <w:color w:val="000000"/>
          <w:sz w:val="30"/>
          <w:szCs w:val="30"/>
        </w:rPr>
        <w:t>Ắ</w:t>
      </w:r>
      <w:r>
        <w:rPr>
          <w:rStyle w:val="Strong"/>
          <w:color w:val="000000"/>
          <w:sz w:val="30"/>
          <w:szCs w:val="30"/>
        </w:rPr>
        <w:t>C DO QUY Đ</w:t>
      </w:r>
      <w:r>
        <w:rPr>
          <w:rStyle w:val="Strong"/>
          <w:color w:val="000000"/>
          <w:sz w:val="30"/>
          <w:szCs w:val="30"/>
        </w:rPr>
        <w:t>Ị</w:t>
      </w:r>
      <w:r>
        <w:rPr>
          <w:rStyle w:val="Strong"/>
          <w:color w:val="000000"/>
          <w:sz w:val="30"/>
          <w:szCs w:val="30"/>
        </w:rPr>
        <w:t>NH PHÁP LU</w:t>
      </w:r>
      <w:r>
        <w:rPr>
          <w:rStyle w:val="Strong"/>
          <w:color w:val="000000"/>
          <w:sz w:val="30"/>
          <w:szCs w:val="30"/>
        </w:rPr>
        <w:t>Ậ</w:t>
      </w:r>
      <w:r>
        <w:rPr>
          <w:rStyle w:val="Strong"/>
          <w:color w:val="000000"/>
          <w:sz w:val="30"/>
          <w:szCs w:val="30"/>
        </w:rPr>
        <w:t>T</w:t>
      </w:r>
    </w:p>
    <w:p w:rsidR="00000000" w:rsidRDefault="0012350A">
      <w:pPr>
        <w:pStyle w:val="NormalWeb"/>
        <w:jc w:val="center"/>
        <w:divId w:val="267588318"/>
        <w:rPr>
          <w:color w:val="000000"/>
        </w:rPr>
      </w:pPr>
      <w:r>
        <w:rPr>
          <w:rStyle w:val="Strong"/>
          <w:color w:val="000000"/>
          <w:sz w:val="30"/>
          <w:szCs w:val="30"/>
        </w:rPr>
        <w:t>Tiêu chí: Quy đ</w:t>
      </w:r>
      <w:r>
        <w:rPr>
          <w:rStyle w:val="Strong"/>
          <w:color w:val="000000"/>
          <w:sz w:val="30"/>
          <w:szCs w:val="30"/>
        </w:rPr>
        <w:t>ị</w:t>
      </w:r>
      <w:r>
        <w:rPr>
          <w:rStyle w:val="Strong"/>
          <w:color w:val="000000"/>
          <w:sz w:val="30"/>
          <w:szCs w:val="30"/>
        </w:rPr>
        <w:t>nh c</w:t>
      </w:r>
      <w:r>
        <w:rPr>
          <w:rStyle w:val="Strong"/>
          <w:color w:val="000000"/>
          <w:sz w:val="30"/>
          <w:szCs w:val="30"/>
        </w:rPr>
        <w:t>ủ</w:t>
      </w:r>
      <w:r>
        <w:rPr>
          <w:rStyle w:val="Strong"/>
          <w:color w:val="000000"/>
          <w:sz w:val="30"/>
          <w:szCs w:val="30"/>
        </w:rPr>
        <w:t>a VBQPPL không rõ ràng, có nhi</w:t>
      </w:r>
      <w:r>
        <w:rPr>
          <w:rStyle w:val="Strong"/>
          <w:color w:val="000000"/>
          <w:sz w:val="30"/>
          <w:szCs w:val="30"/>
        </w:rPr>
        <w:t>ề</w:t>
      </w:r>
      <w:r>
        <w:rPr>
          <w:rStyle w:val="Strong"/>
          <w:color w:val="000000"/>
          <w:sz w:val="30"/>
          <w:szCs w:val="30"/>
        </w:rPr>
        <w:t>u cách hi</w:t>
      </w:r>
      <w:r>
        <w:rPr>
          <w:rStyle w:val="Strong"/>
          <w:color w:val="000000"/>
          <w:sz w:val="30"/>
          <w:szCs w:val="30"/>
        </w:rPr>
        <w:t>ể</w:t>
      </w:r>
      <w:r>
        <w:rPr>
          <w:rStyle w:val="Strong"/>
          <w:color w:val="000000"/>
          <w:sz w:val="30"/>
          <w:szCs w:val="30"/>
        </w:rPr>
        <w:t>u khác nhau, không h</w:t>
      </w:r>
      <w:r>
        <w:rPr>
          <w:rStyle w:val="Strong"/>
          <w:color w:val="000000"/>
          <w:sz w:val="30"/>
          <w:szCs w:val="30"/>
        </w:rPr>
        <w:t>ợ</w:t>
      </w:r>
      <w:r>
        <w:rPr>
          <w:rStyle w:val="Strong"/>
          <w:color w:val="000000"/>
          <w:sz w:val="30"/>
          <w:szCs w:val="30"/>
        </w:rPr>
        <w:t>p lý, không kh</w:t>
      </w:r>
      <w:r>
        <w:rPr>
          <w:rStyle w:val="Strong"/>
          <w:color w:val="000000"/>
          <w:sz w:val="30"/>
          <w:szCs w:val="30"/>
        </w:rPr>
        <w:t>ả</w:t>
      </w:r>
      <w:r>
        <w:rPr>
          <w:rStyle w:val="Strong"/>
          <w:color w:val="000000"/>
          <w:sz w:val="30"/>
          <w:szCs w:val="30"/>
        </w:rPr>
        <w:t xml:space="preserve"> thi, gây khó khăn trong áp d</w:t>
      </w:r>
      <w:r>
        <w:rPr>
          <w:rStyle w:val="Strong"/>
          <w:color w:val="000000"/>
          <w:sz w:val="30"/>
          <w:szCs w:val="30"/>
        </w:rPr>
        <w:t>ụ</w:t>
      </w:r>
      <w:r>
        <w:rPr>
          <w:rStyle w:val="Strong"/>
          <w:color w:val="000000"/>
          <w:sz w:val="30"/>
          <w:szCs w:val="30"/>
        </w:rPr>
        <w:t>ng, th</w:t>
      </w:r>
      <w:r>
        <w:rPr>
          <w:rStyle w:val="Strong"/>
          <w:color w:val="000000"/>
          <w:sz w:val="30"/>
          <w:szCs w:val="30"/>
        </w:rPr>
        <w:t>ự</w:t>
      </w:r>
      <w:r>
        <w:rPr>
          <w:rStyle w:val="Strong"/>
          <w:color w:val="000000"/>
          <w:sz w:val="30"/>
          <w:szCs w:val="30"/>
        </w:rPr>
        <w:t>c hi</w:t>
      </w:r>
      <w:r>
        <w:rPr>
          <w:rStyle w:val="Strong"/>
          <w:color w:val="000000"/>
          <w:sz w:val="30"/>
          <w:szCs w:val="30"/>
        </w:rPr>
        <w:t>ệ</w:t>
      </w:r>
      <w:r>
        <w:rPr>
          <w:rStyle w:val="Strong"/>
          <w:color w:val="000000"/>
          <w:sz w:val="30"/>
          <w:szCs w:val="30"/>
        </w:rPr>
        <w:t>n pháp lu</w:t>
      </w:r>
      <w:r>
        <w:rPr>
          <w:rStyle w:val="Strong"/>
          <w:color w:val="000000"/>
          <w:sz w:val="30"/>
          <w:szCs w:val="30"/>
        </w:rPr>
        <w:t>ậ</w:t>
      </w:r>
      <w:r>
        <w:rPr>
          <w:rStyle w:val="Strong"/>
          <w:color w:val="000000"/>
          <w:sz w:val="30"/>
          <w:szCs w:val="30"/>
        </w:rPr>
        <w:t>t</w:t>
      </w:r>
    </w:p>
    <w:p w:rsidR="00000000" w:rsidRDefault="0012350A">
      <w:pPr>
        <w:pStyle w:val="NormalWeb"/>
        <w:jc w:val="center"/>
        <w:divId w:val="267588318"/>
        <w:rPr>
          <w:color w:val="000000"/>
        </w:rPr>
      </w:pPr>
      <w:r>
        <w:rPr>
          <w:color w:val="000000"/>
        </w:rPr>
        <w:t>B</w:t>
      </w:r>
      <w:r>
        <w:rPr>
          <w:color w:val="000000"/>
        </w:rPr>
        <w:t>ộ</w:t>
      </w:r>
      <w:r>
        <w:rPr>
          <w:color w:val="000000"/>
        </w:rPr>
        <w:t>, ngành, cơ quan, đơn v</w:t>
      </w:r>
      <w:r>
        <w:rPr>
          <w:color w:val="000000"/>
        </w:rPr>
        <w:t>ị</w:t>
      </w:r>
      <w:r>
        <w:rPr>
          <w:color w:val="000000"/>
        </w:rPr>
        <w:t xml:space="preserve"> thu</w:t>
      </w:r>
      <w:r>
        <w:rPr>
          <w:color w:val="000000"/>
        </w:rPr>
        <w:t>ộ</w:t>
      </w:r>
      <w:r>
        <w:rPr>
          <w:color w:val="000000"/>
        </w:rPr>
        <w:t>c B</w:t>
      </w:r>
      <w:r>
        <w:rPr>
          <w:color w:val="000000"/>
        </w:rPr>
        <w:t>ộ</w:t>
      </w:r>
      <w:r>
        <w:rPr>
          <w:color w:val="000000"/>
        </w:rPr>
        <w:t xml:space="preserve"> Tư pháp cho ý ki</w:t>
      </w:r>
      <w:r>
        <w:rPr>
          <w:color w:val="000000"/>
        </w:rPr>
        <w:t>ế</w:t>
      </w:r>
      <w:r>
        <w:rPr>
          <w:color w:val="000000"/>
        </w:rPr>
        <w:t>n:…………………………</w:t>
      </w:r>
    </w:p>
    <w:p w:rsidR="00000000" w:rsidRDefault="0012350A">
      <w:pPr>
        <w:pStyle w:val="NormalWeb"/>
        <w:jc w:val="center"/>
        <w:divId w:val="267588318"/>
        <w:rPr>
          <w:color w:val="000000"/>
        </w:rPr>
      </w:pPr>
      <w:r>
        <w:rPr>
          <w:rStyle w:val="Emphasis"/>
          <w:color w:val="000000"/>
        </w:rPr>
        <w:t>(Kèm theo Báo cáo s</w:t>
      </w:r>
      <w:r>
        <w:rPr>
          <w:rStyle w:val="Emphasis"/>
          <w:color w:val="000000"/>
        </w:rPr>
        <w:t>ố</w:t>
      </w:r>
      <w:r>
        <w:rPr>
          <w:rStyle w:val="Emphasis"/>
          <w:color w:val="000000"/>
        </w:rPr>
        <w:t>…… ngày …….c</w:t>
      </w:r>
      <w:r>
        <w:rPr>
          <w:rStyle w:val="Emphasis"/>
          <w:color w:val="000000"/>
        </w:rPr>
        <w:t>ủ</w:t>
      </w:r>
      <w:r>
        <w:rPr>
          <w:rStyle w:val="Emphasis"/>
          <w:color w:val="000000"/>
        </w:rPr>
        <w:t>a…………..)</w:t>
      </w:r>
    </w:p>
    <w:p w:rsidR="00000000" w:rsidRDefault="0012350A">
      <w:pPr>
        <w:pStyle w:val="NormalWeb"/>
        <w:jc w:val="center"/>
        <w:divId w:val="267588318"/>
        <w:rPr>
          <w:color w:val="000000"/>
        </w:rPr>
      </w:pPr>
      <w:r>
        <w:rPr>
          <w:rStyle w:val="Emphasis"/>
          <w:color w:val="000000"/>
        </w:rPr>
        <w:t>___________________</w:t>
      </w:r>
    </w:p>
    <w:p w:rsidR="00000000" w:rsidRDefault="0012350A">
      <w:pPr>
        <w:pStyle w:val="Heading3"/>
        <w:jc w:val="center"/>
        <w:divId w:val="871189832"/>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2 - Quy định của VBQPPL không rõ ràng, có nhiều cách hiểu khác nhau, không hợp lý, không khả thi, gây khó khăn trong áp</w:t>
      </w:r>
      <w:r>
        <w:rPr>
          <w:rFonts w:ascii="FontAwesome" w:eastAsia="Times New Roman" w:hAnsi="FontAwesome"/>
          <w:caps/>
          <w:vanish/>
          <w:color w:val="000000"/>
          <w:sz w:val="36"/>
          <w:szCs w:val="36"/>
        </w:rPr>
        <w:t xml:space="preserve"> dụng, thực hiện pháp luật</w:t>
      </w:r>
    </w:p>
    <w:tbl>
      <w:tblPr>
        <w:tblW w:w="0"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71"/>
        <w:gridCol w:w="1735"/>
        <w:gridCol w:w="2147"/>
        <w:gridCol w:w="977"/>
        <w:gridCol w:w="940"/>
        <w:gridCol w:w="1001"/>
        <w:gridCol w:w="1206"/>
        <w:gridCol w:w="843"/>
      </w:tblGrid>
      <w:tr w:rsidR="00000000">
        <w:trPr>
          <w:divId w:val="876310520"/>
          <w:tblHeader/>
          <w:tblCellSpacing w:w="0" w:type="dxa"/>
        </w:trPr>
        <w:tc>
          <w:tcPr>
            <w:tcW w:w="10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STT</w:t>
            </w:r>
          </w:p>
        </w:tc>
        <w:tc>
          <w:tcPr>
            <w:tcW w:w="26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Điều, khoản, điểm, tên văn bản đề xuất xử lý</w:t>
            </w:r>
          </w:p>
        </w:tc>
        <w:tc>
          <w:tcPr>
            <w:tcW w:w="50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Nội dung quy định được phản ánh không rõ ràng, có nhiều cách hiểu khác nhau, không hợp lý, không khả thi, gây khó khăn trong áp dụng, thực hiện pháp luật</w:t>
            </w:r>
          </w:p>
        </w:tc>
        <w:tc>
          <w:tcPr>
            <w:tcW w:w="20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Phương án xử lý được đề xu</w:t>
            </w:r>
            <w:r>
              <w:rPr>
                <w:rFonts w:ascii="Times" w:eastAsia="Times New Roman" w:hAnsi="Times"/>
                <w:b/>
                <w:bCs/>
                <w:sz w:val="27"/>
                <w:szCs w:val="27"/>
              </w:rPr>
              <w:t>ất</w:t>
            </w:r>
          </w:p>
        </w:tc>
        <w:tc>
          <w:tcPr>
            <w:tcW w:w="20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Cơ quan, tổ chức rà soát, phản ánh</w:t>
            </w:r>
          </w:p>
        </w:tc>
        <w:tc>
          <w:tcPr>
            <w:tcW w:w="30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Ý kiến của Bộ, ngành, cơ quan về nội dung rà soát, phản ánh</w:t>
            </w:r>
          </w:p>
        </w:tc>
        <w:tc>
          <w:tcPr>
            <w:tcW w:w="30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Ý kiến của Bộ Tư pháp về nội dung rà soát, phản ánh</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00000" w:rsidRDefault="0012350A">
            <w:pPr>
              <w:jc w:val="center"/>
              <w:rPr>
                <w:rFonts w:ascii="Times" w:eastAsia="Times New Roman" w:hAnsi="Times"/>
                <w:b/>
                <w:bCs/>
                <w:sz w:val="27"/>
                <w:szCs w:val="27"/>
              </w:rPr>
            </w:pPr>
            <w:r>
              <w:rPr>
                <w:rFonts w:ascii="Times" w:eastAsia="Times New Roman" w:hAnsi="Times"/>
                <w:b/>
                <w:bCs/>
                <w:sz w:val="27"/>
                <w:szCs w:val="27"/>
              </w:rPr>
              <w:t>Thời gian cập nhật</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"Pháp luật về cán bộ, công chức: Nghị định 173/2025/NĐ-CP về hợp đồng thực hiện nhiệ</w:t>
            </w:r>
            <w:r>
              <w:rPr>
                <w:rFonts w:ascii="Times" w:eastAsia="Times New Roman" w:hAnsi="Times"/>
              </w:rPr>
              <w:t xml:space="preserve">m vụ của công chức 1. Điều 2 Nghị định 173/2025/NĐ-CP về hợp đồng thực hiện nhiệm vụ của công chức quy định về đối tượng áp dụng; Điều 9 cùng Nghị định quy định về tiêu </w:t>
            </w:r>
            <w:r>
              <w:rPr>
                <w:rFonts w:ascii="Times" w:eastAsia="Times New Roman" w:hAnsi="Times"/>
              </w:rPr>
              <w:lastRenderedPageBreak/>
              <w:t xml:space="preserve">chuẩn, điều kiện của các bên ký kết hợp đồng 2. Tại Điều 5 Nghị định 173/2025/NĐ-CP về </w:t>
            </w:r>
            <w:r>
              <w:rPr>
                <w:rFonts w:ascii="Times" w:eastAsia="Times New Roman" w:hAnsi="Times"/>
              </w:rPr>
              <w:t>hợp đồng thực hiện nhiệm vụ của công chức quy định về đối tượng ký kết hợp đồng"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1. Quy định tại Nghị định 173/2025/NĐ-CP về hợp đồng thực hiện nhiệm vụ của công chức về "cá nhân" đang được hiểu bao gồm người nước ngoài, người Việt Nam, người Việt Nam ở nư</w:t>
            </w:r>
            <w:r>
              <w:rPr>
                <w:rFonts w:ascii="Times" w:eastAsia="Times New Roman" w:hAnsi="Times"/>
              </w:rPr>
              <w:t xml:space="preserve">ớc ngoài, người không quốc tịch. "Tổ chức" đang được hiểu bao gồm cả pháp nhân Việt Nam và pháp nhân nước ngoài. 2. Điều 5: Chưa có căn cứ để xác </w:t>
            </w:r>
            <w:r>
              <w:rPr>
                <w:rFonts w:ascii="Times" w:eastAsia="Times New Roman" w:hAnsi="Times"/>
              </w:rPr>
              <w:lastRenderedPageBreak/>
              <w:t xml:space="preserve">định "chuyên gia, nhà khoa học đầu ngành, lĩnh vực"; "người có kinh nghiệm, am hiểu chuyên môn nghiệp vụ" nên </w:t>
            </w:r>
            <w:r>
              <w:rPr>
                <w:rFonts w:ascii="Times" w:eastAsia="Times New Roman" w:hAnsi="Times"/>
              </w:rPr>
              <w:t>sẽ khó xác định khi lựa chọn cá nhân vào vị trí việc làm.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Bộ Tư pháp</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14:41:37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14 Luật Tổ chức chính quyền địa phương số 72/2025/QH15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14 Luật Tổ chức chính quyền địa phương quy định: “Chủ tịch Ủy ban nhân dân ủy quyền cho người đứng đầu cơ quan chuyên môn, tổ chức hành chính khác, đơn vị sự nghiệp công lập t</w:t>
            </w:r>
            <w:r>
              <w:rPr>
                <w:rFonts w:ascii="Times" w:eastAsia="Times New Roman" w:hAnsi="Times"/>
              </w:rPr>
              <w:t xml:space="preserve">huộc Ủy ban nhân dân cấp mình hoặc Chủ tịch Ủy ban nhân dân cấp dưới”. Luật không quy định Chủ tịch UBND tỉnh ủy quyền cho Phó Chủ tịch thực hiện một số nhiệm vụ. Tại khoản 4 Điều 40 của Luật này quy định: “Phó Chủ tịch Ủy ban nhân dân thực hiện nhiệm vụ, </w:t>
            </w:r>
            <w:r>
              <w:rPr>
                <w:rFonts w:ascii="Times" w:eastAsia="Times New Roman" w:hAnsi="Times"/>
              </w:rPr>
              <w:t xml:space="preserve">quyền hạn </w:t>
            </w:r>
            <w:r>
              <w:rPr>
                <w:rFonts w:ascii="Times" w:eastAsia="Times New Roman" w:hAnsi="Times"/>
              </w:rPr>
              <w:lastRenderedPageBreak/>
              <w:t>do Chủ tịch Ủy ban nhân dân phân công theo lĩnh vực, địa bàn công tác; chịu trách nhiệm cá nhân trước Chủ tịch Ủy ban nhân dân và trước pháp luật về các quyết định thuộc lĩnh vực, địa bàn, phạm vi quyền hạn được phân công”. Quy định như trên là k</w:t>
            </w:r>
            <w:r>
              <w:rPr>
                <w:rFonts w:ascii="Times" w:eastAsia="Times New Roman" w:hAnsi="Times"/>
              </w:rPr>
              <w:t>hông rõ ràng trong việc Chủ tịch UBND tỉnh có được phân công cho Phó Chủ tịch UBND tỉnh thực hiện các nhiệm vụ thuộc thẩm quyền “riêng” được pháp luật quy định cho Chủ tịch UBND tỉnh hay không? Hay chỉ được phân công cho Phó Chủ tịch thực hiện nhiệm vụ, qu</w:t>
            </w:r>
            <w:r>
              <w:rPr>
                <w:rFonts w:ascii="Times" w:eastAsia="Times New Roman" w:hAnsi="Times"/>
              </w:rPr>
              <w:t xml:space="preserve">yền hạn của UBND tỉnh theo lĩnh vực, địa bàn công tác? Trường hợp Chủ tịch UBND tỉnh muốn giao cho Phó Chủ tịch UBND tỉnh thực hiện một số nhiệm vụ thuộc </w:t>
            </w:r>
            <w:r>
              <w:rPr>
                <w:rFonts w:ascii="Times" w:eastAsia="Times New Roman" w:hAnsi="Times"/>
              </w:rPr>
              <w:lastRenderedPageBreak/>
              <w:t>thẩm quyền “riêng” được pháp luật quy định cho Chủ tịch UBND tỉnh thì thực hiện theo cơ chế nào nếu kh</w:t>
            </w:r>
            <w:r>
              <w:rPr>
                <w:rFonts w:ascii="Times" w:eastAsia="Times New Roman" w:hAnsi="Times"/>
              </w:rPr>
              <w:t>ông được ủy quyền?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A. Giải thích luật, nghị quyết của Quốc hội, pháp lệnh, nghị quyết của Ủy ban Thường vụ Quốc hội theo quy định tại 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Quảng Trị</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13:58:15</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14 Luật Tổ chức chín</w:t>
            </w:r>
            <w:r>
              <w:rPr>
                <w:rFonts w:ascii="Times" w:eastAsia="Times New Roman" w:hAnsi="Times"/>
              </w:rPr>
              <w:t>h quyền địa phương số 72/2025/QH15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14 Luật Tổ chức chính quyền địa phương quy định: “Chủ tịch Ủy ban nhân dân ủy quyền cho người đứng đầu cơ quan chuyên môn, tổ chức hành chính khác, đơn vị sự nghiệp công lập thuộc Ủy ban nhân dân cấp mình hoặ</w:t>
            </w:r>
            <w:r>
              <w:rPr>
                <w:rFonts w:ascii="Times" w:eastAsia="Times New Roman" w:hAnsi="Times"/>
              </w:rPr>
              <w:t>c Chủ tịch Ủy ban nhân dân cấp dưới”. Luật không quy định Chủ tịch UBND tỉnh ủy quyền cho Phó Chủ tịch thực hiện một số nhiệm vụ. Tại khoản 4 Điều 40 của Luật này quy định: “Phó Chủ tịch Ủy ban nhân dân thực hiện nhiệm vụ, quyền hạn do Chủ tịch Ủy ban nhân</w:t>
            </w:r>
            <w:r>
              <w:rPr>
                <w:rFonts w:ascii="Times" w:eastAsia="Times New Roman" w:hAnsi="Times"/>
              </w:rPr>
              <w:t xml:space="preserve"> dân phân công theo lĩnh vực, địa bàn </w:t>
            </w:r>
            <w:r>
              <w:rPr>
                <w:rFonts w:ascii="Times" w:eastAsia="Times New Roman" w:hAnsi="Times"/>
              </w:rPr>
              <w:lastRenderedPageBreak/>
              <w:t>công tác; chịu trách nhiệm cá nhân trước Chủ tịch Ủy ban nhân dân và trước pháp luật về các quyết định thuộc lĩnh vực, địa bàn, phạm vi quyền hạn được phân công” Quy định như trên là không rõ ràng trong việc Chủ tịch U</w:t>
            </w:r>
            <w:r>
              <w:rPr>
                <w:rFonts w:ascii="Times" w:eastAsia="Times New Roman" w:hAnsi="Times"/>
              </w:rPr>
              <w:t>BND tỉnh có được phân công cho Phó Chủ tịch UBND tỉnh thực hiện các nhiệm vụ thuộc thẩm quyền “riêng” được pháp luật quy định cho Chủ tịch UBND tỉnh hay không? Hay chỉ được phân công cho Phó Chủ tịch thực hiện nhiệm vụ, quyền hạn của UBND tỉnh theo lĩnh vự</w:t>
            </w:r>
            <w:r>
              <w:rPr>
                <w:rFonts w:ascii="Times" w:eastAsia="Times New Roman" w:hAnsi="Times"/>
              </w:rPr>
              <w:t xml:space="preserve">c, địa bàn công tác? Trường hợp Chủ tịch UBND tỉnh muốn giao cho Phó Chủ tịch UBND tỉnh thực hiện một số nhiệm vụ thuộc thẩm quyền “riêng” được pháp luật quy định cho Chủ tịch </w:t>
            </w:r>
            <w:r>
              <w:rPr>
                <w:rFonts w:ascii="Times" w:eastAsia="Times New Roman" w:hAnsi="Times"/>
              </w:rPr>
              <w:lastRenderedPageBreak/>
              <w:t>UBND tỉnh thì thực hiện theo cơ chế nào nếu không được ủy quyền?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A. Giải thích l</w:t>
            </w:r>
            <w:r>
              <w:rPr>
                <w:rFonts w:ascii="Times" w:eastAsia="Times New Roman" w:hAnsi="Times"/>
              </w:rPr>
              <w:t>uật, nghị quyết của Quốc hội, pháp lệnh, nghị quyết của Ủy ban Thường vụ Quốc hội theo quy định tại 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Quảng Trị</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13:44:54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b khoản 1 Điều 35, điểm b khoản 1 Điều 36, điểm c khoản 4 Điều</w:t>
            </w:r>
            <w:r>
              <w:rPr>
                <w:rFonts w:ascii="Times" w:eastAsia="Times New Roman" w:hAnsi="Times"/>
              </w:rPr>
              <w:t xml:space="preserve"> 42 Luật Thi đua khen thưởng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Tiêu chuẩn có “thành tích đặc biệt xuất sắc” để khen thưởng cho các hình thức khen thưởng khác nhau đối với cá nhân là không rõ ràng, gây khó khăn trong áp dụng, thực hiện pháp luật do không có tiêu chí cụ thể, mức độ ảnh hưởng</w:t>
            </w:r>
            <w:r>
              <w:rPr>
                <w:rFonts w:ascii="Times" w:eastAsia="Times New Roman" w:hAnsi="Times"/>
              </w:rPr>
              <w:t xml:space="preserve"> cụ thể của từng thành tích cho từng hình thức khen thưởng nên không có căn cứ để đề nghị xét tặng, khó thực hiện hoặc thực hiện không thống nhất. Đề xuất: bổ sung cụ thể các thành tích được coi là đặc biệt xuất sắc trong từng lĩnh vực: chính trị, kinh tế,</w:t>
            </w:r>
            <w:r>
              <w:rPr>
                <w:rFonts w:ascii="Times" w:eastAsia="Times New Roman" w:hAnsi="Times"/>
              </w:rPr>
              <w:t xml:space="preserve"> xã hội, văn hóa, nghệ thuật, khoa học, công nghệ, quốc phòng, an ninh, đối ngoại hoặc lĩnh vực khác để các cơ </w:t>
            </w:r>
            <w:r>
              <w:rPr>
                <w:rFonts w:ascii="Times" w:eastAsia="Times New Roman" w:hAnsi="Times"/>
              </w:rPr>
              <w:lastRenderedPageBreak/>
              <w:t>quan, tổ chức, đơn vị, địa phương có căn cứ đề nghị khen thưởng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Hưng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13:38:57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b khoản 1 Điều 35 và điểm b khoản 1 Điều 36 Luật Thi đua, khen thưởng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Tiêu c</w:t>
            </w:r>
            <w:r>
              <w:rPr>
                <w:rFonts w:ascii="Times" w:eastAsia="Times New Roman" w:hAnsi="Times"/>
              </w:rPr>
              <w:t>huẩn xét tặng "Huân chương Hồ Chí Minh" và "Huân chương Độc lập" hạng Nhất cho cá nhân giống nhau là không phù hợp, không rõ ràng, gây khó khăn trong áp dụng, thực hiện pháp luật do không quy định tiêu chuẩn cụ thể về thành tích, mức độ ảnh hưởng của thành</w:t>
            </w:r>
            <w:r>
              <w:rPr>
                <w:rFonts w:ascii="Times" w:eastAsia="Times New Roman" w:hAnsi="Times"/>
              </w:rPr>
              <w:t xml:space="preserve"> tích đối với 02 hình thướng khen thưởng này nên không có căn cứ để đề nghị xét tặng, khó thực hiện hoặc thực hiện không thống nhất. Đề xuất: bổ sung các tiêu chí cụ thể cho thành tích "đặc biệt xuất sắc" để làm căn cứ xét tặng 02 hình thức khen thưởng nêu</w:t>
            </w:r>
            <w:r>
              <w:rPr>
                <w:rFonts w:ascii="Times" w:eastAsia="Times New Roman" w:hAnsi="Times"/>
              </w:rPr>
              <w:t xml:space="preserve"> trên.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Hưng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13:38:57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Điểm b khoản 1 Điều 37 và điểm b </w:t>
            </w:r>
            <w:r>
              <w:rPr>
                <w:rFonts w:ascii="Times" w:eastAsia="Times New Roman" w:hAnsi="Times"/>
              </w:rPr>
              <w:lastRenderedPageBreak/>
              <w:t>khoản 1 Điều 38 Luật Thi đua, khen thưởng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Tiêu chuẩn xét tặng "Huân chương Độc </w:t>
            </w:r>
            <w:r>
              <w:rPr>
                <w:rFonts w:ascii="Times" w:eastAsia="Times New Roman" w:hAnsi="Times"/>
              </w:rPr>
              <w:lastRenderedPageBreak/>
              <w:t>lập" hạng Nhất và "Huân chương Độc lập" hạng Nhì cho cá nhân giống nhau là không phù hợp, không rõ ràng, gây khó khăn trong áp dụng, thực hiện pháp luật do không quy định tiêu chuẩn cụ thể về thành tích, mức độ ảnh hưở</w:t>
            </w:r>
            <w:r>
              <w:rPr>
                <w:rFonts w:ascii="Times" w:eastAsia="Times New Roman" w:hAnsi="Times"/>
              </w:rPr>
              <w:t xml:space="preserve">ng của thành tích của 02 hình thức khen thưởng này nên không có căn cứ đề nghị xét tặng, khó thực hiện hoặc thực hiện không thống nhất. Đề xuất: bổ sung các tiêu chí cụ thể cho thành tích "đặc biệt xuất sắc" để làm căn cứ xét tặng 02 hình thức khen thưởng </w:t>
            </w:r>
            <w:r>
              <w:rPr>
                <w:rFonts w:ascii="Times" w:eastAsia="Times New Roman" w:hAnsi="Times"/>
              </w:rPr>
              <w:t>nêu trên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w:t>
            </w:r>
            <w:r>
              <w:rPr>
                <w:rFonts w:ascii="Times" w:eastAsia="Times New Roman" w:hAnsi="Times"/>
              </w:rPr>
              <w:lastRenderedPageBreak/>
              <w:t>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Sở Tư pháp tỉnh </w:t>
            </w:r>
            <w:r>
              <w:rPr>
                <w:rFonts w:ascii="Times" w:eastAsia="Times New Roman" w:hAnsi="Times"/>
              </w:rPr>
              <w:lastRenderedPageBreak/>
              <w:t>Hưng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 xml:space="preserve">16-07-2025 </w:t>
            </w:r>
            <w:r>
              <w:rPr>
                <w:rFonts w:ascii="Times" w:eastAsia="Times New Roman" w:hAnsi="Times"/>
              </w:rPr>
              <w:lastRenderedPageBreak/>
              <w:t>13:38:57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6 Điều 73 Luật Thi đua, khen thưởng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Tiêu chuẩn "có đóng góp lớn về công sức, đất đai và tài sản cho địa phương, xã hội" để tặng Bằng khen của Thủ tướng Chính phủ là không rõ ràng, gây khó khăn cho việc áp dụng, triển khai thực </w:t>
            </w:r>
            <w:r>
              <w:rPr>
                <w:rFonts w:ascii="Times" w:eastAsia="Times New Roman" w:hAnsi="Times"/>
              </w:rPr>
              <w:lastRenderedPageBreak/>
              <w:t>hiện. Đề xuất: quy định cụ thể mức độ đóng góp về công sức, đất đ</w:t>
            </w:r>
            <w:r>
              <w:rPr>
                <w:rFonts w:ascii="Times" w:eastAsia="Times New Roman" w:hAnsi="Times"/>
              </w:rPr>
              <w:t>ai và tài sản cho địa phương, xã hội để địa phương có căn cứ đề nghị xét tặng.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w:t>
            </w:r>
            <w:r>
              <w:rPr>
                <w:rFonts w:ascii="Times" w:eastAsia="Times New Roman" w:hAnsi="Times"/>
              </w:rPr>
              <w:lastRenderedPageBreak/>
              <w:t>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Hưng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13:38:57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w:t>
            </w:r>
            <w:r>
              <w:rPr>
                <w:rFonts w:ascii="Times" w:eastAsia="Times New Roman" w:hAnsi="Times"/>
              </w:rPr>
              <w:t>ểm c khoản 2 Điều 16 Luật Thi đua, khen thưởng - Khoản 1 Điều 25 Luật Thi đua, khen thưởng; khoản 1 Điều 7 Nghị định số 152/2025/NĐ-CP ngày 14/6/2025 của Chính phủ Quy định về phân cấp, phân quyền trong lĩnh vực thi đua, khen thưởng; quy định chi tiết và h</w:t>
            </w:r>
            <w:r>
              <w:rPr>
                <w:rFonts w:ascii="Times" w:eastAsia="Times New Roman" w:hAnsi="Times"/>
              </w:rPr>
              <w:t xml:space="preserve">ướng dẫn thi hành một số điều của Luật Thi đua, khen thưởng; Điều 5 Thông tư số 01/2024/TT-BNV ngày 24/02/2024 của Bộ Nội vụ quy định biện pháp thi </w:t>
            </w:r>
            <w:r>
              <w:rPr>
                <w:rFonts w:ascii="Times" w:eastAsia="Times New Roman" w:hAnsi="Times"/>
              </w:rPr>
              <w:lastRenderedPageBreak/>
              <w:t>hành Luật Thi đua, khen thưởng và Nghị định số 98/2023/NĐ-CP ngày 31/12/2023 của CP quy định chi tiết thi hà</w:t>
            </w:r>
            <w:r>
              <w:rPr>
                <w:rFonts w:ascii="Times" w:eastAsia="Times New Roman" w:hAnsi="Times"/>
              </w:rPr>
              <w:t>nh một số điều của Luật Thi đua, khen thưởng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Các VBQPPL của Trung ương quy định xét tặng khen thưởng quy định việc xét tặng hoặc đề nghị xét tặng cho tập thể tiêu biểu xuất sắc trong số các tập thể dẫn đầu cụm, khối thi đua do tỉnh tổ chức. Do vậy, bên cạn</w:t>
            </w:r>
            <w:r>
              <w:rPr>
                <w:rFonts w:ascii="Times" w:eastAsia="Times New Roman" w:hAnsi="Times"/>
              </w:rPr>
              <w:t>h việc tổ chức cụm, khối thi đua thuộc tỉnh, UBND tỉnh phải tổ chức cụm, khối thi đua các phòng, ban, đơn vị thuộc, trực thuộc cơ quan, tổ chức, đơn vị mới được xét tặng, đề nghị cấp có thẩm quyền xét tặng là không phù hợp với tình hình thực tế do cơ cấu t</w:t>
            </w:r>
            <w:r>
              <w:rPr>
                <w:rFonts w:ascii="Times" w:eastAsia="Times New Roman" w:hAnsi="Times"/>
              </w:rPr>
              <w:t xml:space="preserve">ổ chức bên trong của các cơ quan, tổ chức, đơn vị có sự biến động, </w:t>
            </w:r>
            <w:r>
              <w:rPr>
                <w:rFonts w:ascii="Times" w:eastAsia="Times New Roman" w:hAnsi="Times"/>
              </w:rPr>
              <w:lastRenderedPageBreak/>
              <w:t>không ổn định nhất là các doanh nghiệp. Đề xuất: quy định UBND tỉnh tổ chức cụm, khối thi đua thuộc tỉnh và ủy quyền cho thủ trưởng cơ quan, tổ chức, đơn vị tổ chức cụm, khối thi đua thuộc,</w:t>
            </w:r>
            <w:r>
              <w:rPr>
                <w:rFonts w:ascii="Times" w:eastAsia="Times New Roman" w:hAnsi="Times"/>
              </w:rPr>
              <w:t xml:space="preserve"> trực thuộc. Đồng thời, thực hiện khen thưởng đối với cụm, khối thi đua thuộc tỉnh và cụm, khối thi đua thuộc, trực thuộc các cơ quan, tổ chức, đơn vị.</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w:t>
            </w:r>
            <w:r>
              <w:rPr>
                <w:rFonts w:ascii="Times" w:eastAsia="Times New Roman" w:hAnsi="Times"/>
              </w:rPr>
              <w:t>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Hưng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13:38:57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d khoản 3 Điều 74 Luật Thi đua, khen thưởng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Tiêu chuẩn tặng Bằng khen của Chủ tịch UBND tỉnh đối với tập thể: Có 02 năm liên tục được công nhận hoàn thành xuất sắc nhiệm vụ hoặc đạ</w:t>
            </w:r>
            <w:r>
              <w:rPr>
                <w:rFonts w:ascii="Times" w:eastAsia="Times New Roman" w:hAnsi="Times"/>
              </w:rPr>
              <w:t xml:space="preserve">t danh hiệu “Tập thể lao động xuất sắc”. Như vậy, trong cùng 1 thời điểm (kết thúc năm học hoặc năm công tác), tập thể đó vừa đạt tiêu chuẩn "02 năm liên tục được công nhận hoàn thành xuất sắc nhiệm vụ" để </w:t>
            </w:r>
            <w:r>
              <w:rPr>
                <w:rFonts w:ascii="Times" w:eastAsia="Times New Roman" w:hAnsi="Times"/>
              </w:rPr>
              <w:lastRenderedPageBreak/>
              <w:t>đề nghị Chủ tịch UBND tỉnh tặng Bằng khen, vừa đạt</w:t>
            </w:r>
            <w:r>
              <w:rPr>
                <w:rFonts w:ascii="Times" w:eastAsia="Times New Roman" w:hAnsi="Times"/>
              </w:rPr>
              <w:t xml:space="preserve"> tiêu chuẩn đề nghị Chủ tịch UBND tỉnh tặng danh hiệu "Tập thể lao động xuất sắc" thì việc trình Chủ tịch UBND tỉnh khen thưởng được thực hiện như thế nào? Cụ thể: (1) Trường hợp 1: Có được đề nghị Chủ tịch UBND tỉnh khen thưởng đồng thời cho tập thể đó Bằ</w:t>
            </w:r>
            <w:r>
              <w:rPr>
                <w:rFonts w:ascii="Times" w:eastAsia="Times New Roman" w:hAnsi="Times"/>
              </w:rPr>
              <w:t>ng khen (căn cứ tiêu chuẩn 02 năm HTXSNV) và danh hiệu "Tập thể lao động xuất sắc" (căn cứ tiêu chuẩn HTXSNV của năm học, năm công tác) hay không? (2) Trường hợp 2: Nếu tập thể đó được Chủ tịch UBND tỉnh tặng Bằng khen và danh hiệu "Tập thể lao động xuất s</w:t>
            </w:r>
            <w:r>
              <w:rPr>
                <w:rFonts w:ascii="Times" w:eastAsia="Times New Roman" w:hAnsi="Times"/>
              </w:rPr>
              <w:t xml:space="preserve">ắc" trong trường hợp 1 thì sau đó, có được tiếp tục đề nghị Chủ tịch UBND tỉnh tặng Bằng khen căn cứ tiêu </w:t>
            </w:r>
            <w:r>
              <w:rPr>
                <w:rFonts w:ascii="Times" w:eastAsia="Times New Roman" w:hAnsi="Times"/>
              </w:rPr>
              <w:lastRenderedPageBreak/>
              <w:t>chuẩn 02 năm đạt danh hiệu "Tập thể lao động xuất sắc" hay không?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w:t>
            </w:r>
            <w:r>
              <w:rPr>
                <w:rFonts w:ascii="Times" w:eastAsia="Times New Roman" w:hAnsi="Times"/>
              </w:rPr>
              <w:t>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Hưng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13:38:57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Khoản 3 Điều 7 Nghị định số 152/2020/NĐ-CP ngày 30/12/2020 về người lao động nước ngoài làm việc tại Việt Nam và tuyển dụng, quản lý người lao động Việt Nam làm việc cho tổ chức, cá nhân nước ngoài tại Việt Nam</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Khoản 3 Điều 7 Nghị định số 152/2020/</w:t>
            </w:r>
            <w:r>
              <w:rPr>
                <w:rFonts w:ascii="Times" w:eastAsia="Times New Roman" w:hAnsi="Times"/>
              </w:rPr>
              <w:t>NĐ-CP quy định: “Di chuyển trong nội bộ doanh nghiệp thuộc phạm vi 11 ngành dịch vụ trong biểu cam kết dịch vụ của Việt Nam với Tổ chức Thương mại thế giới, bao gồm: kinh doanh, thông tin, xây dựng, phân phối, giáo dục, môi trường, tài chính, y tế, du lịch</w:t>
            </w:r>
            <w:r>
              <w:rPr>
                <w:rFonts w:ascii="Times" w:eastAsia="Times New Roman" w:hAnsi="Times"/>
              </w:rPr>
              <w:t>, văn hóa giải trí và vận tải.”. Tuy nhiên chưa quy định cụ thể những ngành dịch vụ (CPC) nào được miễn cấp giấy phép lao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Sở </w:t>
            </w:r>
            <w:r>
              <w:rPr>
                <w:rFonts w:ascii="Times" w:eastAsia="Times New Roman" w:hAnsi="Times"/>
              </w:rPr>
              <w:t>Tư pháp thành phố Hà Nội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11:42:54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11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Tại Khoản 3 Điều 7 Nghị định số 152/2020/NĐ-CP ngày 30/12/2020 về người lao động nước ngoài làm việc tại Việt Nam </w:t>
            </w:r>
            <w:r>
              <w:rPr>
                <w:rFonts w:ascii="Times" w:eastAsia="Times New Roman" w:hAnsi="Times"/>
              </w:rPr>
              <w:lastRenderedPageBreak/>
              <w:t>và tuyển dụng, quản lý người lao động Việt Nam làm việc cho tổ chức, cá nhân nước ngoài tại</w:t>
            </w:r>
            <w:r>
              <w:rPr>
                <w:rFonts w:ascii="Times" w:eastAsia="Times New Roman" w:hAnsi="Times"/>
              </w:rPr>
              <w:t xml:space="preserve"> Việt Nam</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Tại Khoản 3 Điều 7 Nghị định số 152/2020/NĐ-CP quy định: “Di chuyển trong nội bộ doanh nghiệp thuộc phạm vi 11 ngành dịch vụ trong </w:t>
            </w:r>
            <w:r>
              <w:rPr>
                <w:rFonts w:ascii="Times" w:eastAsia="Times New Roman" w:hAnsi="Times"/>
              </w:rPr>
              <w:lastRenderedPageBreak/>
              <w:t>biểu cam kết dịch vụ của Việt Nam với Tổ chức Thương mại thế giới, bao gồm: kinh doanh, thông tin, xây dựng, phân p</w:t>
            </w:r>
            <w:r>
              <w:rPr>
                <w:rFonts w:ascii="Times" w:eastAsia="Times New Roman" w:hAnsi="Times"/>
              </w:rPr>
              <w:t>hối, giáo dục, môi trường, tài chính, y tế, du lịch, văn hóa giải trí và vận tải.”. Tuy nhiên chưa quy định cụ thể những ngành dịch vụ (CPC) nào được miễn cấp giấy phép lao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w:t>
            </w:r>
            <w:r>
              <w:rPr>
                <w:rFonts w:ascii="Times" w:eastAsia="Times New Roman" w:hAnsi="Times"/>
              </w:rPr>
              <w:lastRenderedPageBreak/>
              <w:t>trình tự, thủ tục rú</w:t>
            </w:r>
            <w:r>
              <w:rPr>
                <w:rFonts w:ascii="Times" w:eastAsia="Times New Roman" w:hAnsi="Times"/>
              </w:rPr>
              <w:t>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Đảng bộ cơ sở Trường Cao đẳng Luật Miền </w:t>
            </w:r>
            <w:r>
              <w:rPr>
                <w:rFonts w:ascii="Times" w:eastAsia="Times New Roman" w:hAnsi="Times"/>
              </w:rPr>
              <w:lastRenderedPageBreak/>
              <w:t>Trung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11:42:54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49 Nghị định số 93/2019/NĐ-CP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Có quỹ chưa thực hiện việc kiện toàn tổ chức, bộ máy của quỹ theo quy định tại khoản 1 Điều</w:t>
            </w:r>
            <w:r>
              <w:rPr>
                <w:rFonts w:ascii="Times" w:eastAsia="Times New Roman" w:hAnsi="Times"/>
              </w:rPr>
              <w:t xml:space="preserve"> 49 Nghị định số 93/2019/NĐ-CP. - Báo cáo định kỳ về tổ chức, hoạt động, tài chính với cơ quan quản lý nhà nước có thẩm quyền còn chưa đảm bảo thời gian; chưa thực hiện đăng ký mã số thuế, kê khai thuế theo quy định. Việc tổ chức thực hiện huy động các ngu</w:t>
            </w:r>
            <w:r>
              <w:rPr>
                <w:rFonts w:ascii="Times" w:eastAsia="Times New Roman" w:hAnsi="Times"/>
              </w:rPr>
              <w:t xml:space="preserve">ồn lực tham gia ủng hộ, hỗ trợ </w:t>
            </w:r>
            <w:r>
              <w:rPr>
                <w:rFonts w:ascii="Times" w:eastAsia="Times New Roman" w:hAnsi="Times"/>
              </w:rPr>
              <w:lastRenderedPageBreak/>
              <w:t>xây dựng nguồn tài chính của các tổ chức quỹ còn nhiều hạn chế, chưa có giải pháp tăng cường tài chính quỹ... Quá trình thực hiện phát sinh một số khó khăn, vướng mắc, một số quy định chưa đáp ứng yêu cầu thực tế. B6 Nghị địn</w:t>
            </w:r>
            <w:r>
              <w:rPr>
                <w:rFonts w:ascii="Times" w:eastAsia="Times New Roman" w:hAnsi="Times"/>
              </w:rPr>
              <w:t>h số 93/2019/NĐ-CP mới chỉ quy định mục đích thành lập quỹ nhằm hỗ trợ, khuyến khích phát triển văn hóa, giáo dục, y tế, thể dục, thể thao, khoa học, công nghệ, cộng đồng và từ thiện, nhân đạo, không vì mục tiêu lợi nhuận; chưa có quy định cụ thể về lĩnh v</w:t>
            </w:r>
            <w:r>
              <w:rPr>
                <w:rFonts w:ascii="Times" w:eastAsia="Times New Roman" w:hAnsi="Times"/>
              </w:rPr>
              <w:t xml:space="preserve">ực môi trường và một số lĩnh vực khác. - Hiện nay đang có xu hướng gia tăng đề nghị thành lập quỹ gắn với tên riêng của cá nhân, tổ chức có dấu hiệu vụ lợi hoặc gắn liền với tên các đồng chí nguyên Lãnh </w:t>
            </w:r>
            <w:r>
              <w:rPr>
                <w:rFonts w:ascii="Times" w:eastAsia="Times New Roman" w:hAnsi="Times"/>
              </w:rPr>
              <w:lastRenderedPageBreak/>
              <w:t xml:space="preserve">đạo Đảng, Nhà nước hoặc anh hùng dân tộc và các chức </w:t>
            </w:r>
            <w:r>
              <w:rPr>
                <w:rFonts w:ascii="Times" w:eastAsia="Times New Roman" w:hAnsi="Times"/>
              </w:rPr>
              <w:t>sắc, tổ chức tôn giáo trong khi Nghị định số 93/2019/NĐ-CP chưa có quy định về vấn đề này. Nghị định số 93/2019/NĐ-CP chưa quy định cụ thể về tài liệu chứng minh tính hợp pháp của trụ sở quỹ. Bên cạnh đó, Nghị định 93/2019/NĐ-CP chỉ quy định các quỹ được t</w:t>
            </w:r>
            <w:r>
              <w:rPr>
                <w:rFonts w:ascii="Times" w:eastAsia="Times New Roman" w:hAnsi="Times"/>
              </w:rPr>
              <w:t xml:space="preserve">hành lập từ các nguồn tài sản hiến, tặng hoặc theo hợp đồng ủy quyền, di chúc mà tổ chức quyên góp và nhận tài trợ thì hàng năm phải dành tối thiểu 5% tổng số tài sản để tài trợ cho các chương trình, dự án phù hợp với mục đích hoạt động của quỹ nhưng chưa </w:t>
            </w:r>
            <w:r>
              <w:rPr>
                <w:rFonts w:ascii="Times" w:eastAsia="Times New Roman" w:hAnsi="Times"/>
              </w:rPr>
              <w:t xml:space="preserve">áp dụng quy định này đối với các quỹ còn lại. Đề nghị: Sửa đổi, bổ sung Nghị định số </w:t>
            </w:r>
            <w:r>
              <w:rPr>
                <w:rFonts w:ascii="Times" w:eastAsia="Times New Roman" w:hAnsi="Times"/>
              </w:rPr>
              <w:lastRenderedPageBreak/>
              <w:t xml:space="preserve">93/2019/NĐ-CP, cụ thể: - Thứ nhất, quy định nhằm nâng cao hiệu quả tổ chức, hoạt động của các quỹ. - Thứ hai, quy định nhằm tăng cường hiệu lực, hiệu quả quản lý nhà nước </w:t>
            </w:r>
            <w:r>
              <w:rPr>
                <w:rFonts w:ascii="Times" w:eastAsia="Times New Roman" w:hAnsi="Times"/>
              </w:rPr>
              <w:t>về quỹ xã hội, quỹ từ thiện. - Thứ ba, phân cấp thẩm quyền giải quyết các thủ tục về quỹ theo Nghị quyết số 04/NQ-CP ngày 10/01/2022 của Chính phủ.</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VBQPPL của Luật </w:t>
            </w:r>
            <w:r>
              <w:rPr>
                <w:rFonts w:ascii="Times" w:eastAsia="Times New Roman" w:hAnsi="Times"/>
              </w:rPr>
              <w:t>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10:39:41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a khoản 2 Điều 38 Nghị định số 118/2025/NĐ-CP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a khoản 2 Điều 38 quy định: “Chủ tịch Ủy ban nhân dân cấp xã: “a) Trực tiếp chỉ đạo việc triển khai cơ chế một cửa, một cửa liên thông tại địa phương theo các quy định tại Nghị định này và quy chế tổ chức hoạt động của Trung tâm Phục vụ hành chính côn</w:t>
            </w:r>
            <w:r>
              <w:rPr>
                <w:rFonts w:ascii="Times" w:eastAsia="Times New Roman" w:hAnsi="Times"/>
              </w:rPr>
              <w:t xml:space="preserve">g cấp xã do Ủy ban nhân dân cùng cấp ban hành” Nghị định có quy định về </w:t>
            </w:r>
            <w:r>
              <w:rPr>
                <w:rFonts w:ascii="Times" w:eastAsia="Times New Roman" w:hAnsi="Times"/>
              </w:rPr>
              <w:lastRenderedPageBreak/>
              <w:t>thẩm quyền của UBND cấp xã ban hành Quy chế tổ chức và hoạt động của Trung tâm phục vụ hành chính công cấp xã, nhưng chưa có quy định về thẩm quyền ban hành Quy chế tổ chức và hoạt độn</w:t>
            </w:r>
            <w:r>
              <w:rPr>
                <w:rFonts w:ascii="Times" w:eastAsia="Times New Roman" w:hAnsi="Times"/>
              </w:rPr>
              <w:t>g của Trung tâm phục vụ hành chính công cấp tỉnh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10:39:41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Điểu 39, Thông tư số 06/2025/T</w:t>
            </w:r>
            <w:r>
              <w:rPr>
                <w:rFonts w:ascii="Times" w:eastAsia="Times New Roman" w:hAnsi="Times"/>
              </w:rPr>
              <w:t>T-BNV</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Điểu 39, Thông tư số 06/2025/TT-BNV ngày 15/5/2025 quy định về quản lý tài liệu trong trường hợp giải thể, phá sản hoặc kết thúc hoạt động: 1. Tài liệu lưu trữ vĩnh viễn được nộp vào lưu trữ lịch sử theo quy định tại khoản 4 Điều 37 Thông tư 06. 2.</w:t>
            </w:r>
            <w:r>
              <w:rPr>
                <w:rFonts w:ascii="Times" w:eastAsia="Times New Roman" w:hAnsi="Times"/>
              </w:rPr>
              <w:t xml:space="preserve"> Tài liệu khác được quản lý như sau: a) Trường hợp chia cơ quan, tổ chức thành các cơ quan, tổ chức mới, đồng thời chấm dứt sự tồn tại của cơ quan, tổ chức, bàn giao tài liệu cho cơ quan, tổ chức </w:t>
            </w:r>
            <w:r>
              <w:rPr>
                <w:rFonts w:ascii="Times" w:eastAsia="Times New Roman" w:hAnsi="Times"/>
              </w:rPr>
              <w:lastRenderedPageBreak/>
              <w:t>cấp trên trực tiếp để quản lý Việc quy định “bàn giao tài li</w:t>
            </w:r>
            <w:r>
              <w:rPr>
                <w:rFonts w:ascii="Times" w:eastAsia="Times New Roman" w:hAnsi="Times"/>
              </w:rPr>
              <w:t>ệu cho cơ quan, tổ chức cấp trên trực tiếp để quản lý” chưa thể hiện rõ ràng là “cơ quan cấp trên trực tiếp trước khi chia cơ quan, tổ chức mới, đồng thời chấm dứt sự tồn tại hoạt động của cơ quan, tổ chức” hay “cơ quan cấp trên trực tiếp sau khi chia”. Ch</w:t>
            </w:r>
            <w:r>
              <w:rPr>
                <w:rFonts w:ascii="Times" w:eastAsia="Times New Roman" w:hAnsi="Times"/>
              </w:rPr>
              <w:t>ính vì quy định chưa rõ ràng dẫn đến có nhiều cách hiểu khác nhau, thực hiện không thống nhất.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w:t>
            </w:r>
            <w:r>
              <w:rPr>
                <w:rFonts w:ascii="Times" w:eastAsia="Times New Roman" w:hAnsi="Times"/>
              </w:rPr>
              <w:t>25 10:39:41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2, Điều 14, Thông tư số 06/2025/TT-BNV</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Khoản 2, Điều 14, Thông tư số 06/2025/TT-BNV ngày 15/5/2025 quy định về huỷ tài liệu tại Lưu trữ lịch sử ở cấp tỉnh: “Lưu trữ lịch sử của Nhà nước ở cấp tỉnh gửi Sở Nội vụ văn bản đề nghị huỷ t</w:t>
            </w:r>
            <w:r>
              <w:rPr>
                <w:rFonts w:ascii="Times" w:eastAsia="Times New Roman" w:hAnsi="Times"/>
              </w:rPr>
              <w:t xml:space="preserve">ài liệu lưu trữ kèm theo Danh mục tài liệu hết thời hạn lưu trữ, trùng lặp và Bản </w:t>
            </w:r>
            <w:r>
              <w:rPr>
                <w:rFonts w:ascii="Times" w:eastAsia="Times New Roman" w:hAnsi="Times"/>
              </w:rPr>
              <w:lastRenderedPageBreak/>
              <w:t>thuyết minh tài liệu hết thời hạn lưu trữ, trùng lặp”. Khoản 1, Điều 13, Thông tư số 06/2025/TT-BNV ngày 15/5/2025 quy định về huỷ tài liệu tại lưu trữ hiện hành: “Cơ quan, t</w:t>
            </w:r>
            <w:r>
              <w:rPr>
                <w:rFonts w:ascii="Times" w:eastAsia="Times New Roman" w:hAnsi="Times"/>
              </w:rPr>
              <w:t>ổ chức gửi văn bản đề nghị thẩm định tài liệu hết thời hạn lưu trữ, trùng lặp kèm theo các văn bản: Quyết định thành lập Hội đồng xét huỷ tài liệu lưu trữ; Danh mục tài liệu hết thời hạn lưu trữ, trùng lặp; Bản thuyết minh tài liệu hết thời hạn lưu trữ, tr</w:t>
            </w:r>
            <w:r>
              <w:rPr>
                <w:rFonts w:ascii="Times" w:eastAsia="Times New Roman" w:hAnsi="Times"/>
              </w:rPr>
              <w:t xml:space="preserve">ùng lặp; Biên bản họp Hội đồng xét huỷ tài liệu lưu trữ” Như vậy: Đối với tài liệu lưu trữ hiện hành thì cơ quan đó phải thành lập Hội đồng và họp để xét huỷ nhưng đối với Lưu trữ lịch sử thì bỏ qua bước này. Trên thực tế, tài liệu tại Lưu trữ lịch sử rất </w:t>
            </w:r>
            <w:r>
              <w:rPr>
                <w:rFonts w:ascii="Times" w:eastAsia="Times New Roman" w:hAnsi="Times"/>
              </w:rPr>
              <w:t xml:space="preserve">quan trọng và phức tạp do đây là tài </w:t>
            </w:r>
            <w:r>
              <w:rPr>
                <w:rFonts w:ascii="Times" w:eastAsia="Times New Roman" w:hAnsi="Times"/>
              </w:rPr>
              <w:lastRenderedPageBreak/>
              <w:t>liệu do cơ quan khác nộp lưu vào Lưu trữ lịch sử nên việc thành lập Hội đồng xét huỷ và tổ chức họp để xét huỷ là những khâu rất quan trọng cần có về trình tự, thủ tục huỷ tài liệu tại lưu trữ lịch sử. Đề nghị bổ sung t</w:t>
            </w:r>
            <w:r>
              <w:rPr>
                <w:rFonts w:ascii="Times" w:eastAsia="Times New Roman" w:hAnsi="Times"/>
              </w:rPr>
              <w:t>hêm quy trình: Quyết định thành lập Hội đồng xét huỷ tài liệu lưu trữ và Biên bản họp Hội đồng xét huỷ tài liệu lưu trữ tại Lưu trữ lịch sử cấp tỉnh; bổ sung vào hồ sơ gửi Sở Nội vụ xem xét huỷ.</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w:t>
            </w:r>
            <w:r>
              <w:rPr>
                <w:rFonts w:ascii="Times" w:eastAsia="Times New Roman" w:hAnsi="Times"/>
              </w:rPr>
              <w:t xml:space="preserve">h tự, thủ tục rút gọn ban hành VBQPPL của Luật </w:t>
            </w:r>
            <w:r>
              <w:rPr>
                <w:rFonts w:ascii="Times" w:eastAsia="Times New Roman" w:hAnsi="Times"/>
              </w:rPr>
              <w:lastRenderedPageBreak/>
              <w:t>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10:39:41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Luật tổ chức chính quyền địa phương và Luật ban hành văn bản QPPL</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Luật tổ chức chính quyền địa phương và Luật ban hành văn bản QPPL không có quy định việc xử lý đối với văn bản của cấp huyện sau chính quyền địa phương cấp huyện khi kết thúc hoạt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C. Sửa đổi, bổ sung, thay thế, ban hành mới VBQPPL (theo trình tự, thủ</w:t>
            </w:r>
            <w:r>
              <w:rPr>
                <w:rFonts w:ascii="Times" w:eastAsia="Times New Roman" w:hAnsi="Times"/>
              </w:rPr>
              <w:t xml:space="preserve"> tục rút gọn ban hành VBQPPL của Luật </w:t>
            </w:r>
            <w:r>
              <w:rPr>
                <w:rFonts w:ascii="Times" w:eastAsia="Times New Roman" w:hAnsi="Times"/>
              </w:rPr>
              <w:lastRenderedPageBreak/>
              <w:t>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10:39:41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13,14 Luật tổ chức chính quyền địa phương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4 Điều 13 quy định: Cơ quan, tổ chức, đơn vị, cá nhân được phân cấp có quyền tham gia ý kiến đối</w:t>
            </w:r>
            <w:r>
              <w:rPr>
                <w:rFonts w:ascii="Times" w:eastAsia="Times New Roman" w:hAnsi="Times"/>
              </w:rPr>
              <w:t xml:space="preserve"> với dự thảo văn bản phân cấp; đề nghị cơ quan, cá nhân phân cấp điều chỉnh nội dung phân cấp; chịu trách nhiệm trước pháp luật, trước cơ quan, cá nhân phân cấp về kết quả thực hiện nhiệm vụ, quyền hạn được phân cấp; định kỳ báo cáo, đánh giá việc thực hiệ</w:t>
            </w:r>
            <w:r>
              <w:rPr>
                <w:rFonts w:ascii="Times" w:eastAsia="Times New Roman" w:hAnsi="Times"/>
              </w:rPr>
              <w:t>n nhiệm vụ, quyền hạn được phân cấp và không được phân cấp tiếp nhiệm vụ, quyền hạn mà mình được phân cấp. Khoản 5 Điều 14 quy định: Cơ quan, tổ chức, đơn vị, cá nhân nhận ủy quyền có quyền đề nghị cơ quan, tổ chức, cá nhân ủy quyền điều chỉnh nội dung, ph</w:t>
            </w:r>
            <w:r>
              <w:rPr>
                <w:rFonts w:ascii="Times" w:eastAsia="Times New Roman" w:hAnsi="Times"/>
              </w:rPr>
              <w:t xml:space="preserve">ạm vi, thời </w:t>
            </w:r>
            <w:r>
              <w:rPr>
                <w:rFonts w:ascii="Times" w:eastAsia="Times New Roman" w:hAnsi="Times"/>
              </w:rPr>
              <w:lastRenderedPageBreak/>
              <w:t>hạn ủy quyền; không được ủy quyền tiếp nhiệm vụ, quyền hạn mà mình được ủy quyền. Như vậy, theo quy định trên: cơ quan, tổ chức, đơn vị, cá nhân được phân cấp không được phân cấp tiếp, không có nội dung quy định có được uỷ quyền tiếp đối với cấ</w:t>
            </w:r>
            <w:r>
              <w:rPr>
                <w:rFonts w:ascii="Times" w:eastAsia="Times New Roman" w:hAnsi="Times"/>
              </w:rPr>
              <w:t>c thẩm quyền được phân cấp không?; cơ quan, tổ chức, đơn vị, cá nhân được uỷ quyền không được uỷ quyền tiếp, không có nội dung quy định có được phân cấp tiếp đối với các thẩm quyền được uỷ quyền không? Quy định trên gây khó khăn, lúng túng và có nhiều luồn</w:t>
            </w:r>
            <w:r>
              <w:rPr>
                <w:rFonts w:ascii="Times" w:eastAsia="Times New Roman" w:hAnsi="Times"/>
              </w:rPr>
              <w:t>g quan điểm khác nhau cho các cơ quan khi triển khai thực hiện. Đề nghị Trung ương có hướng dẫn cụ thể về nội dung này.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10:39:41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Điều 93 Bộ luật </w:t>
            </w:r>
            <w:r>
              <w:rPr>
                <w:rFonts w:ascii="Times" w:eastAsia="Times New Roman" w:hAnsi="Times"/>
              </w:rPr>
              <w:lastRenderedPageBreak/>
              <w:t>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Vấn đề về xây dựng thang, bảng lương </w:t>
            </w:r>
            <w:r>
              <w:rPr>
                <w:rFonts w:ascii="Times" w:eastAsia="Times New Roman" w:hAnsi="Times"/>
              </w:rPr>
              <w:lastRenderedPageBreak/>
              <w:t>Theo quy định tại Điều 93 BLLĐ 2019 thì người sử dụng lao động phải xây dựng thang lương, bảng lương và định mức lao động làm cơ sở để tuyển dụng, sử dụng lao động, thỏa thuận mức lương theo công việc hoặc chức danh ghi trong hợp đồng lao động và trả lương</w:t>
            </w:r>
            <w:r>
              <w:rPr>
                <w:rFonts w:ascii="Times" w:eastAsia="Times New Roman" w:hAnsi="Times"/>
              </w:rPr>
              <w:t xml:space="preserve"> cho người lao động. Tuy nhiên, trên thực tế, việc xây dựng và đăng ký đòi hỏi rất chi tiết, tốn rất nhiều thời gian, trong khi hiệu quả áp dụng thực tế gần như không có. Việc này không có giá trị áp dụng thực tế vì doanh nghiệp thường tăng lương hàng năm </w:t>
            </w:r>
            <w:r>
              <w:rPr>
                <w:rFonts w:ascii="Times" w:eastAsia="Times New Roman" w:hAnsi="Times"/>
              </w:rPr>
              <w:t xml:space="preserve">và mức tăng thường cao hơn nhiều, phụ thuộc vào kết quả kinh doanh, cạnh tranh về nhân lực và việc giữ nhân lực cũng như triển vọng phát triển. </w:t>
            </w:r>
            <w:r>
              <w:rPr>
                <w:rFonts w:ascii="Times" w:eastAsia="Times New Roman" w:hAnsi="Times"/>
              </w:rPr>
              <w:lastRenderedPageBreak/>
              <w:t xml:space="preserve">Từ đó, đề xuất việc bỏ xây dựng thang, bảng lương cho doanh nghiệp để giảm tải nghĩa vụ cho doanh nghiệp.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w:t>
            </w:r>
            <w:r>
              <w:rPr>
                <w:rFonts w:ascii="Times" w:eastAsia="Times New Roman" w:hAnsi="Times"/>
              </w:rPr>
              <w:t xml:space="preserve">a đổi, bổ </w:t>
            </w:r>
            <w:r>
              <w:rPr>
                <w:rFonts w:ascii="Times" w:eastAsia="Times New Roman" w:hAnsi="Times"/>
              </w:rPr>
              <w:lastRenderedPageBreak/>
              <w:t>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Đoàn Luật Sư </w:t>
            </w:r>
            <w:r>
              <w:rPr>
                <w:rFonts w:ascii="Times" w:eastAsia="Times New Roman" w:hAnsi="Times"/>
              </w:rPr>
              <w:lastRenderedPageBreak/>
              <w:t>Hà Nội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 xml:space="preserve">16-07-2025 </w:t>
            </w:r>
            <w:r>
              <w:rPr>
                <w:rFonts w:ascii="Times" w:eastAsia="Times New Roman" w:hAnsi="Times"/>
              </w:rPr>
              <w:lastRenderedPageBreak/>
              <w:t>10:05:14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19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3 Điều 42 Bộ luật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Vấn đề về chấm dứt hợp đồng lao động do thay đổi cơ cấu, </w:t>
            </w:r>
            <w:r>
              <w:rPr>
                <w:rFonts w:ascii="Times" w:eastAsia="Times New Roman" w:hAnsi="Times"/>
              </w:rPr>
              <w:t>công nghệ đối với các thành viên cấp cao trong doanh nghiệp Trong trường hợp chấm dứt hợp đồng lao động với các thành viên cấp cao trong doanh nghiệp, có thể nghiên cứu đơn giản hóa trình tự này vì những lý do sau đây: • Tăng tính linh hoạt cho doanh nghiệ</w:t>
            </w:r>
            <w:r>
              <w:rPr>
                <w:rFonts w:ascii="Times" w:eastAsia="Times New Roman" w:hAnsi="Times"/>
              </w:rPr>
              <w:t>p: Các vị trí lãnh đạo thường gắn với cơ cấu tổ chức. Khi doanh nghiệp tái cấu trúc hoặc áp dụng công nghệ mới, việc nhanh chóng điều chỉnh bộ máy giúp tiết kiệm chi phí và tối ưu hiệu quả quản trị. • Phù hợp với thực tế hoạt động: Các thay đổi về công ngh</w:t>
            </w:r>
            <w:r>
              <w:rPr>
                <w:rFonts w:ascii="Times" w:eastAsia="Times New Roman" w:hAnsi="Times"/>
              </w:rPr>
              <w:t xml:space="preserve">ệ </w:t>
            </w:r>
            <w:r>
              <w:rPr>
                <w:rFonts w:ascii="Times" w:eastAsia="Times New Roman" w:hAnsi="Times"/>
              </w:rPr>
              <w:lastRenderedPageBreak/>
              <w:t xml:space="preserve">hoặc mô hình tổ chức thường cần thực hiện nhanh để bắt kịp thị trường. Thủ tục rườm rà có thể cản trở doanh nghiệp triển khai chiến lược kịp thời. Thực tế đối với những lao động cấp quản lý việc giữ người đã khó và việc sa thải khi không còn phù hợp lại </w:t>
            </w:r>
            <w:r>
              <w:rPr>
                <w:rFonts w:ascii="Times" w:eastAsia="Times New Roman" w:hAnsi="Times"/>
              </w:rPr>
              <w:t xml:space="preserve">khó hơn nhiều, gây rất nhiều bức xúc cho cả hai phía và người lao động liên quan, và rất nhiều khi người lao động quản lý đòi hỏi mức thỏa thuận để chấm dứt ngoài sức tưởng tượng, và có thể đi làm hưởng hương nhiều tháng nhưng thực tế không đóng góp gì mà </w:t>
            </w:r>
            <w:r>
              <w:rPr>
                <w:rFonts w:ascii="Times" w:eastAsia="Times New Roman" w:hAnsi="Times"/>
              </w:rPr>
              <w:t xml:space="preserve">ngược lại doanh nghiệp phải cử người theo dõi, hướng dẫn. • Vẫn đảm bảo quyền lợi người lao động: Dù thủ tục được đơn giản hóa, doanh nghiệp vẫn phải thông báo trước, chi trả đầy đủ chế độ theo </w:t>
            </w:r>
            <w:r>
              <w:rPr>
                <w:rFonts w:ascii="Times" w:eastAsia="Times New Roman" w:hAnsi="Times"/>
              </w:rPr>
              <w:lastRenderedPageBreak/>
              <w:t>luật, nên không ảnh hưởng đến quyền lợi chính đáng của người l</w:t>
            </w:r>
            <w:r>
              <w:rPr>
                <w:rFonts w:ascii="Times" w:eastAsia="Times New Roman" w:hAnsi="Times"/>
              </w:rPr>
              <w:t>ao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Đoàn Luật Sư Hà Nội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10:05:14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Khoản 4 Điều 2 Nghị định số 154/2025/NĐ-CP ngày 15/6/2025 của Chính phủ quy </w:t>
            </w:r>
            <w:r>
              <w:rPr>
                <w:rFonts w:ascii="Times" w:eastAsia="Times New Roman" w:hAnsi="Times"/>
              </w:rPr>
              <w:t>định về tinh giản biên chế</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khoản 4 Điều 2 Nghị định số 154/2025/NĐ-CP quy định về đối tượng áp dụng tinh giản biên chế như sau: “Người hoạt động không chuyên trách ở cấp xã nghỉ ngay kể từ khi thực hiện mô hình chính quyền địa phương 02 cấp theo quy đị</w:t>
            </w:r>
            <w:r>
              <w:rPr>
                <w:rFonts w:ascii="Times" w:eastAsia="Times New Roman" w:hAnsi="Times"/>
              </w:rPr>
              <w:t xml:space="preserve">nh của Luật Tổ chức chính quyền địa phương”. Tại mục 4 Văn bản số 12-CV/BCĐ nêu: “Trường hợp cấp ủy, chính quyền địa phương cấp xã có nhu cầu sử dụng và người hoạt động không chuyên trách ở cấp xã cũ có nguyện vọng tiếp tục được làm việc thì cấp ủy, chính </w:t>
            </w:r>
            <w:r>
              <w:rPr>
                <w:rFonts w:ascii="Times" w:eastAsia="Times New Roman" w:hAnsi="Times"/>
              </w:rPr>
              <w:t xml:space="preserve">quyền địa phương xem xét, bố trí tạm thời vào vị trí hỗ trợ công việc cho </w:t>
            </w:r>
            <w:r>
              <w:rPr>
                <w:rFonts w:ascii="Times" w:eastAsia="Times New Roman" w:hAnsi="Times"/>
              </w:rPr>
              <w:lastRenderedPageBreak/>
              <w:t>hoạt động của hệ thống chính trị của đơn vị hành chính cấp xã mới (cơ quan đảng, Mặt trận Tổ quốc và các tổ chức chính trị - xã hội, chính quyền địa phương) hoặc tham gia các chức da</w:t>
            </w:r>
            <w:r>
              <w:rPr>
                <w:rFonts w:ascii="Times" w:eastAsia="Times New Roman" w:hAnsi="Times"/>
              </w:rPr>
              <w:t>nh người hoạt động không chuyên trách ở thôn, tổ dân phố đến trước ngày 31/5/2026 và tiếp tục được hưởng phụ cấp, các chế độ, chính sách đã được Hội đồng nhân dân cấp tỉnh ban hành . Trong thời gian này, nếu người hoạt động không chuyên trách ở cấp xã nghỉ</w:t>
            </w:r>
            <w:r>
              <w:rPr>
                <w:rFonts w:ascii="Times" w:eastAsia="Times New Roman" w:hAnsi="Times"/>
              </w:rPr>
              <w:t xml:space="preserve"> việc thì được hưởng chế độ, chính sách theo quy định tại Nghị định số 154/2025/NĐ-CP”. Tuy nhiên, trường hợp người hoạt động không chuyên trách ở cấp xã tiếp tục được bố trí công tác, sau đó có nguyện vọng nghỉ từ tháng 01/8/2025 đến </w:t>
            </w:r>
            <w:r>
              <w:rPr>
                <w:rFonts w:ascii="Times" w:eastAsia="Times New Roman" w:hAnsi="Times"/>
              </w:rPr>
              <w:lastRenderedPageBreak/>
              <w:t>tháng 01/5/2026 thì c</w:t>
            </w:r>
            <w:r>
              <w:rPr>
                <w:rFonts w:ascii="Times" w:eastAsia="Times New Roman" w:hAnsi="Times"/>
              </w:rPr>
              <w:t>hưa xác định được họ có được hưởng chế độ, chính sách theo Điều 9 Nghị định số 154/2025/NĐ-CP hay không? Đề nghị Bộ Nội vụ có văn bản hướng dẫn vấn đề này.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Sở Tư pháp tỉnh </w:t>
            </w:r>
            <w:r>
              <w:rPr>
                <w:rFonts w:ascii="Times" w:eastAsia="Times New Roman" w:hAnsi="Times"/>
              </w:rPr>
              <w:t>Hà Tĩnh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10:02:33</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49 Nghị định số 93/2019/NĐ-CP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Có quỹ chưa thực hiện việc kiện toàn tổ chức, bộ máy của quỹ theo quy định tại khoản 1 Điều 49 Nghị định số 93/2019/NĐ-CP. - Báo cáo định kỳ về tổ chức, hoạt động, tài chính với cơ quan quản lý nhà nước có thẩm quyền còn chưa đảm bảo thời gian; chưa thực</w:t>
            </w:r>
            <w:r>
              <w:rPr>
                <w:rFonts w:ascii="Times" w:eastAsia="Times New Roman" w:hAnsi="Times"/>
              </w:rPr>
              <w:t xml:space="preserve"> hiện đăng ký mã số thuế, kê khai thuế theo quy định. Việc tổ chức thực hiện huy động các nguồn lực tham gia ủng hộ, hỗ trợ xây dựng nguồn tài chính của các tổ chức quỹ còn nhiều hạn chế, chưa có giải pháp tăng cường tài chính quỹ... </w:t>
            </w:r>
            <w:r>
              <w:rPr>
                <w:rFonts w:ascii="Times" w:eastAsia="Times New Roman" w:hAnsi="Times"/>
              </w:rPr>
              <w:lastRenderedPageBreak/>
              <w:t>Quá trình thực hiện ph</w:t>
            </w:r>
            <w:r>
              <w:rPr>
                <w:rFonts w:ascii="Times" w:eastAsia="Times New Roman" w:hAnsi="Times"/>
              </w:rPr>
              <w:t>át sinh một số khó khăn, vướng mắc, một số quy định chưa đáp ứng yêu cầu thực tế. B6 Nghị định số 93/2019/NĐ-CP mới chỉ quy định mục đích thành lập quỹ nhằm hỗ trợ, khuyến khích phát triển văn hóa, giáo dục, y tế, thể dục, thể thao, khoa học, công nghệ, cộ</w:t>
            </w:r>
            <w:r>
              <w:rPr>
                <w:rFonts w:ascii="Times" w:eastAsia="Times New Roman" w:hAnsi="Times"/>
              </w:rPr>
              <w:t>ng đồng và từ thiện, nhân đạo, không vì mục tiêu lợi nhuận; chưa có quy định cụ thể về lĩnh vực môi trường và một số lĩnh vực khác. - Hiện nay đang có xu hướng gia tăng đề nghị thành lập quỹ gắn với tên riêng của cá nhân, tổ chức có dấu hiệu vụ lợi hoặc gắ</w:t>
            </w:r>
            <w:r>
              <w:rPr>
                <w:rFonts w:ascii="Times" w:eastAsia="Times New Roman" w:hAnsi="Times"/>
              </w:rPr>
              <w:t xml:space="preserve">n liền với tên các đồng chí nguyên Lãnh đạo Đảng, Nhà nước hoặc anh hùng dân tộc và các chức sắc, tổ chức tôn giáo trong khi Nghị định số </w:t>
            </w:r>
            <w:r>
              <w:rPr>
                <w:rFonts w:ascii="Times" w:eastAsia="Times New Roman" w:hAnsi="Times"/>
              </w:rPr>
              <w:lastRenderedPageBreak/>
              <w:t>93/2019/NĐ-CP chưa có quy định về vấn đề này. Nghị định số 93/2019/NĐ-CP chưa quy định cụ thể về tài liệu chứng minh t</w:t>
            </w:r>
            <w:r>
              <w:rPr>
                <w:rFonts w:ascii="Times" w:eastAsia="Times New Roman" w:hAnsi="Times"/>
              </w:rPr>
              <w:t xml:space="preserve">ính hợp pháp của trụ sở quỹ. Bên cạnh đó, Nghị định 93/2019/NĐ-CP chỉ quy định các quỹ được thành lập từ các nguồn tài sản hiến, tặng hoặc theo hợp đồng ủy quyền, di chúc mà tổ chức quyên góp và nhận tài trợ thì hàng năm phải dành tối thiểu 5% tổng số tài </w:t>
            </w:r>
            <w:r>
              <w:rPr>
                <w:rFonts w:ascii="Times" w:eastAsia="Times New Roman" w:hAnsi="Times"/>
              </w:rPr>
              <w:t>sản để tài trợ cho các chương trình, dự án phù hợp với mục đích hoạt động của quỹ nhưng chưa áp dụng quy định này đối với các quỹ còn lại. Đề nghị: Sửa đổi, bổ sung Nghị định số 93/2019/NĐ-CP, cụ thể: - Thứ nhất, quy định nhằm nâng cao hiệu quả tổ chức, ho</w:t>
            </w:r>
            <w:r>
              <w:rPr>
                <w:rFonts w:ascii="Times" w:eastAsia="Times New Roman" w:hAnsi="Times"/>
              </w:rPr>
              <w:t xml:space="preserve">ạt động của các quỹ. - </w:t>
            </w:r>
            <w:r>
              <w:rPr>
                <w:rFonts w:ascii="Times" w:eastAsia="Times New Roman" w:hAnsi="Times"/>
              </w:rPr>
              <w:lastRenderedPageBreak/>
              <w:t>Thứ hai, quy định nhằm tăng cường hiệu lực, hiệu quả quản lý nhà nước về quỹ xã hội, quỹ từ thiện. - Thứ ba, phân cấp thẩm quyền giải quyết các thủ tục về quỹ theo Nghị quyết số 04/NQ-CP ngày 10/01/2022 của Chính phủ.</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w:t>
            </w:r>
            <w:r>
              <w:rPr>
                <w:rFonts w:ascii="Times" w:eastAsia="Times New Roman" w:hAnsi="Times"/>
              </w:rPr>
              <w:t>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08:08:57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a khoản 2 Điều 38 Nghị định số 118/2025/NĐ-CP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Điểm a khoản 2 Điều 38 quy định: “Chủ tịch </w:t>
            </w:r>
            <w:r>
              <w:rPr>
                <w:rFonts w:ascii="Times" w:eastAsia="Times New Roman" w:hAnsi="Times"/>
              </w:rPr>
              <w:t>Ủy ban nhân dân cấp xã: “a) Trực tiếp chỉ đạo việc triển khai cơ chế một cửa, một cửa liên thông tại địa phương theo các quy định tại Nghị định này và quy chế tổ chức hoạt động của Trung tâm Phục vụ hành chính công cấp xã do Ủy ban nhân dân cùng cấp ban hà</w:t>
            </w:r>
            <w:r>
              <w:rPr>
                <w:rFonts w:ascii="Times" w:eastAsia="Times New Roman" w:hAnsi="Times"/>
              </w:rPr>
              <w:t xml:space="preserve">nh” Nghị định có quy định về thẩm quyền của UBND cấp xã ban hành Quy chế tổ chức và hoạt động của Trung tâm phục vụ hành chính </w:t>
            </w:r>
            <w:r>
              <w:rPr>
                <w:rFonts w:ascii="Times" w:eastAsia="Times New Roman" w:hAnsi="Times"/>
              </w:rPr>
              <w:lastRenderedPageBreak/>
              <w:t>công cấp xã, nhưng chưa có quy định về thẩm quyền ban hành Quy chế tổ chức và hoạt động của Trung tâm phục vụ hành chính công cấp</w:t>
            </w:r>
            <w:r>
              <w:rPr>
                <w:rFonts w:ascii="Times" w:eastAsia="Times New Roman" w:hAnsi="Times"/>
              </w:rPr>
              <w:t xml:space="preserve"> tỉnh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08:08:57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Điểu 39, Thông tư số 06/2025/TT-BNV</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Điểu 39, Thông tư số 06/2025/TT-BNV</w:t>
            </w:r>
            <w:r>
              <w:rPr>
                <w:rFonts w:ascii="Times" w:eastAsia="Times New Roman" w:hAnsi="Times"/>
              </w:rPr>
              <w:t xml:space="preserve"> ngày 15/5/2025 quy định về quản lý tài liệu trong trường hợp giải thể, phá sản hoặc kết thúc hoạt động: 1. Tài liệu lưu trữ vĩnh viễn được nộp vào lưu trữ lịch sử theo quy định tại khoản 4 Điều 37 Thông tư 06. 2. Tài liệu khác được quản lý như sau: a) Trư</w:t>
            </w:r>
            <w:r>
              <w:rPr>
                <w:rFonts w:ascii="Times" w:eastAsia="Times New Roman" w:hAnsi="Times"/>
              </w:rPr>
              <w:t xml:space="preserve">ờng hợp chia cơ quan, tổ chức thành các cơ quan, tổ chức mới, đồng thời chấm dứt sự tồn tại của cơ quan, tổ chức, bàn giao tài liệu cho cơ quan, tổ chức cấp trên trực tiếp để quản lý Việc quy định “bàn giao tài liệu cho cơ quan, tổ chức cấp trên trực tiếp </w:t>
            </w:r>
            <w:r>
              <w:rPr>
                <w:rFonts w:ascii="Times" w:eastAsia="Times New Roman" w:hAnsi="Times"/>
              </w:rPr>
              <w:t xml:space="preserve">để quản </w:t>
            </w:r>
            <w:r>
              <w:rPr>
                <w:rFonts w:ascii="Times" w:eastAsia="Times New Roman" w:hAnsi="Times"/>
              </w:rPr>
              <w:lastRenderedPageBreak/>
              <w:t>lý” chưa thể hiện rõ ràng là “cơ quan cấp trên trực tiếp trước khi chia cơ quan, tổ chức mới, đồng thời chấm dứt sự tồn tại hoạt động của cơ quan, tổ chức” hay “cơ quan cấp trên trực tiếp sau khi chia”. Chính vì quy định chưa rõ ràng dẫn đến có nhi</w:t>
            </w:r>
            <w:r>
              <w:rPr>
                <w:rFonts w:ascii="Times" w:eastAsia="Times New Roman" w:hAnsi="Times"/>
              </w:rPr>
              <w:t>ều cách hiểu khác nhau, thực hiện không thống nhất.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08:08:57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2, Điều 14, Thông tư số 06/2025/TT-BNV</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 Khoản 2, Điều 14, Thông tư số 06/2025/TT-BNV ngày 15/5/2025 quy định về huỷ tài liệu tại Lưu trữ lịch sử ở cấp tỉnh: “Lưu trữ lịch sử của Nhà nước ở cấp tỉnh gửi Sở Nội vụ văn bản đề nghị huỷ tài liệu lưu trữ </w:t>
            </w:r>
            <w:r>
              <w:rPr>
                <w:rFonts w:ascii="Times" w:eastAsia="Times New Roman" w:hAnsi="Times"/>
              </w:rPr>
              <w:t xml:space="preserve">kèm theo Danh mục tài liệu hết thời hạn lưu trữ, trùng lặp và Bản thuyết minh tài liệu hết thời hạn lưu trữ, trùng lặp”. Khoản 1, Điều 13, Thông tư số 06/2025/TT-BNV ngày </w:t>
            </w:r>
            <w:r>
              <w:rPr>
                <w:rFonts w:ascii="Times" w:eastAsia="Times New Roman" w:hAnsi="Times"/>
              </w:rPr>
              <w:lastRenderedPageBreak/>
              <w:t>15/5/2025 quy định về huỷ tài liệu tại lưu trữ hiện hành: “Cơ quan, tổ chức gửi văn b</w:t>
            </w:r>
            <w:r>
              <w:rPr>
                <w:rFonts w:ascii="Times" w:eastAsia="Times New Roman" w:hAnsi="Times"/>
              </w:rPr>
              <w:t>ản đề nghị thẩm định tài liệu hết thời hạn lưu trữ, trùng lặp kèm theo các văn bản: Quyết định thành lập Hội đồng xét huỷ tài liệu lưu trữ; Danh mục tài liệu hết thời hạn lưu trữ, trùng lặp; Bản thuyết minh tài liệu hết thời hạn lưu trữ, trùng lặp; Biên bả</w:t>
            </w:r>
            <w:r>
              <w:rPr>
                <w:rFonts w:ascii="Times" w:eastAsia="Times New Roman" w:hAnsi="Times"/>
              </w:rPr>
              <w:t>n họp Hội đồng xét huỷ tài liệu lưu trữ” Như vậy: Đối với tài liệu lưu trữ hiện hành thì cơ quan đó phải thành lập Hội đồng và họp để xét huỷ nhưng đối với Lưu trữ lịch sử thì bỏ qua bước này. Trên thực tế, tài liệu tại Lưu trữ lịch sử rất quan trọng và ph</w:t>
            </w:r>
            <w:r>
              <w:rPr>
                <w:rFonts w:ascii="Times" w:eastAsia="Times New Roman" w:hAnsi="Times"/>
              </w:rPr>
              <w:t xml:space="preserve">ức tạp do đây là tài liệu do cơ quan khác nộp lưu vào Lưu trữ lịch sử nên việc thành lập Hội đồng xét huỷ và tổ chức họp để xét </w:t>
            </w:r>
            <w:r>
              <w:rPr>
                <w:rFonts w:ascii="Times" w:eastAsia="Times New Roman" w:hAnsi="Times"/>
              </w:rPr>
              <w:lastRenderedPageBreak/>
              <w:t>huỷ là những khâu rất quan trọng cần có về trình tự, thủ tục huỷ tài liệu tại lưu trữ lịch sử. Đề nghị bổ sung thêm quy trình: Q</w:t>
            </w:r>
            <w:r>
              <w:rPr>
                <w:rFonts w:ascii="Times" w:eastAsia="Times New Roman" w:hAnsi="Times"/>
              </w:rPr>
              <w:t>uyết định thành lập Hội đồng xét huỷ tài liệu lưu trữ và Biên bản họp Hội đồng xét huỷ tài liệu lưu trữ tại Lưu trữ lịch sử cấp tỉnh; bổ sung vào hồ sơ gửi Sở Nội vụ xem xét huỷ.</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w:t>
            </w:r>
            <w:r>
              <w:rPr>
                <w:rFonts w:ascii="Times" w:eastAsia="Times New Roman" w:hAnsi="Times"/>
              </w:rPr>
              <w:t>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08:08:57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13,14 Luật tổ chức chính quyền địa phương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4 Điều 13 quy định: Cơ quan, tổ chức, đơn vị, cá nhân được phân cấp có quyền tham gia ý kiến đối với dự</w:t>
            </w:r>
            <w:r>
              <w:rPr>
                <w:rFonts w:ascii="Times" w:eastAsia="Times New Roman" w:hAnsi="Times"/>
              </w:rPr>
              <w:t xml:space="preserve"> thảo văn bản phân cấp; đề nghị cơ quan, cá nhân phân cấp điều chỉnh nội dung phân cấp; chịu trách nhiệm trước pháp luật, trước cơ quan, cá nhân phân cấp về kết quả thực hiện nhiệm vụ, quyền hạn được phân cấp; định kỳ báo cáo, đánh giá việc thực hiện nhiệm</w:t>
            </w:r>
            <w:r>
              <w:rPr>
                <w:rFonts w:ascii="Times" w:eastAsia="Times New Roman" w:hAnsi="Times"/>
              </w:rPr>
              <w:t xml:space="preserve"> vụ, quyền hạn </w:t>
            </w:r>
            <w:r>
              <w:rPr>
                <w:rFonts w:ascii="Times" w:eastAsia="Times New Roman" w:hAnsi="Times"/>
              </w:rPr>
              <w:lastRenderedPageBreak/>
              <w:t xml:space="preserve">được phân cấp và không được phân cấp tiếp nhiệm vụ, quyền hạn mà mình được phân cấp. Khoản 5 Điều 14 quy định: Cơ quan, tổ chức, đơn vị, cá nhân nhận ủy quyền có quyền đề nghị cơ quan, tổ chức, cá nhân ủy quyền điều chỉnh nội dung, phạm vi, </w:t>
            </w:r>
            <w:r>
              <w:rPr>
                <w:rFonts w:ascii="Times" w:eastAsia="Times New Roman" w:hAnsi="Times"/>
              </w:rPr>
              <w:t xml:space="preserve">thời hạn ủy quyền; không được ủy quyền tiếp nhiệm vụ, quyền hạn mà mình được ủy quyền. Như vậy, theo quy định trên: cơ quan, tổ chức, đơn vị, cá nhân được phân cấp không được phân cấp tiếp, không có nội dung quy định có được uỷ quyền tiếp đối với cấc thẩm </w:t>
            </w:r>
            <w:r>
              <w:rPr>
                <w:rFonts w:ascii="Times" w:eastAsia="Times New Roman" w:hAnsi="Times"/>
              </w:rPr>
              <w:t xml:space="preserve">quyền được phân cấp không?; cơ quan, tổ chức, đơn vị, cá nhân được uỷ quyền không được uỷ quyền tiếp, không có nội dung quy định có được phân cấp tiếp đối với các </w:t>
            </w:r>
            <w:r>
              <w:rPr>
                <w:rFonts w:ascii="Times" w:eastAsia="Times New Roman" w:hAnsi="Times"/>
              </w:rPr>
              <w:lastRenderedPageBreak/>
              <w:t xml:space="preserve">thẩm quyền được uỷ quyền không? Quy định trên gây khó khăn, lúng túng và có nhiều luồng quan </w:t>
            </w:r>
            <w:r>
              <w:rPr>
                <w:rFonts w:ascii="Times" w:eastAsia="Times New Roman" w:hAnsi="Times"/>
              </w:rPr>
              <w:t>điểm khác nhau cho các cơ quan khi triển khai thực hiện. Đề nghị Trung ương có hướng dẫn cụ thể về nội dung này.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16-07-2025 08:08:57</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16</w:t>
            </w:r>
            <w:r>
              <w:rPr>
                <w:rFonts w:ascii="Times" w:eastAsia="Times New Roman" w:hAnsi="Times"/>
              </w:rPr>
              <w:t>, 21, 29 Luật Tổ chức Chính quyền địa phương ngày 16/6/2025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Các điều khoản trên chỉ quy định chung về nhiệm vụ, quyền hạn của HĐND và UBND cấp xã, không cụ thể hóa theo quy mô, đặc điểm từng loại hình đơn vị hành chính. Sau khi sáp nhập, một số xã có quy m</w:t>
            </w:r>
            <w:r>
              <w:rPr>
                <w:rFonts w:ascii="Times" w:eastAsia="Times New Roman" w:hAnsi="Times"/>
              </w:rPr>
              <w:t>ô rộng, dân số đông nhưng vẫn áp dụng thống nhất quy định như các xã thông thường, gây khó khăn trong tổ chức thực hiện nhiệm vụ và quản lý điều hành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Lào Ca</w:t>
            </w:r>
            <w:r>
              <w:rPr>
                <w:rFonts w:ascii="Times" w:eastAsia="Times New Roman" w:hAnsi="Times"/>
              </w:rPr>
              <w:t>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17:54:09</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27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Luật Bình đẳng giới ngày 29/11/2006</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Luật Bình đẳng giới và các văn bản hướng dẫn thi hành chưa có quy định rõ ràng về phân </w:t>
            </w:r>
            <w:r>
              <w:rPr>
                <w:rFonts w:ascii="Times" w:eastAsia="Times New Roman" w:hAnsi="Times"/>
              </w:rPr>
              <w:lastRenderedPageBreak/>
              <w:t>cấp trách nhiệm cụ thể giữa tỉnh – huyện – xã. Đề nghị chỉnh sửa lại các quy định về thẩm quyền này để đảm bảo phù hợp với mô hình tổ chức chính quyền địa phương 2 cấp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w:t>
            </w:r>
            <w:r>
              <w:rPr>
                <w:rFonts w:ascii="Times" w:eastAsia="Times New Roman" w:hAnsi="Times"/>
              </w:rPr>
              <w:t xml:space="preserve">. Sửa đổi, bổ sung, thay thế, ban </w:t>
            </w:r>
            <w:r>
              <w:rPr>
                <w:rFonts w:ascii="Times" w:eastAsia="Times New Roman" w:hAnsi="Times"/>
              </w:rPr>
              <w:lastRenderedPageBreak/>
              <w:t>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Lào Cai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17:54:09</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28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2 Điều 26 Luật Thanh niên ngày 16/6/2020</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Quy định về trách nhiệm của chính q</w:t>
            </w:r>
            <w:r>
              <w:rPr>
                <w:rFonts w:ascii="Times" w:eastAsia="Times New Roman" w:hAnsi="Times"/>
              </w:rPr>
              <w:t>uyền trong việc phát triển thanh niên còn mang tính nguyên tắc, chưa hướng dẫn cụ thể nội dung, hình thức thực hiện ở cấp xã, dẫn tới lúng túng trong quá trình triển khai các hoạt động cho thanh niên tại địa phương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B. Hướng dẫn áp dụng VBQPPL theo quy định</w:t>
            </w:r>
            <w:r>
              <w:rPr>
                <w:rFonts w:ascii="Times" w:eastAsia="Times New Roman" w:hAnsi="Times"/>
              </w:rPr>
              <w:t xml:space="preserve">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Lào Cai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17:54:09</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29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Điểm b khoản 9 Điều 9 Nghị định152/2020/NĐ-CP ngày 30 tháng 12 năm 2020 quy định về người lao động nước ngoài làm việc tại Việt </w:t>
            </w:r>
            <w:r>
              <w:rPr>
                <w:rFonts w:ascii="Times" w:eastAsia="Times New Roman" w:hAnsi="Times"/>
              </w:rPr>
              <w:lastRenderedPageBreak/>
              <w:t>Nam và tuyển dụng, quản lý người la</w:t>
            </w:r>
            <w:r>
              <w:rPr>
                <w:rFonts w:ascii="Times" w:eastAsia="Times New Roman" w:hAnsi="Times"/>
              </w:rPr>
              <w:t>o động Việt Nam làm việc cho tổ chức, cá nhân nước ngoài tại Việt Nam ('NĐ 152/2020/NĐ-CP)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Điểm b khoản 9 Điều 9 Nghị định 152/2020/NĐ-CP quy định như sau: “Đối với người lao động nước ngoài đã được cấp giấy phép lao động và đang còn hiệu lực mà thay </w:t>
            </w:r>
            <w:r>
              <w:rPr>
                <w:rFonts w:ascii="Times" w:eastAsia="Times New Roman" w:hAnsi="Times"/>
              </w:rPr>
              <w:lastRenderedPageBreak/>
              <w:t>đổi v</w:t>
            </w:r>
            <w:r>
              <w:rPr>
                <w:rFonts w:ascii="Times" w:eastAsia="Times New Roman" w:hAnsi="Times"/>
              </w:rPr>
              <w:t>ị trí công việc hoặc chức danh công việc hoặc hình thức làm việc ghi trong giấy phép lao động theo quy định của pháp luật nhưng không thay đổi người sử dụng lao động thì hồ sơ đề nghị cấp giấy phép lao động mới gồm các giấy tờ quy định tại khoản 1, 4, 5, 6</w:t>
            </w:r>
            <w:r>
              <w:rPr>
                <w:rFonts w:ascii="Times" w:eastAsia="Times New Roman" w:hAnsi="Times"/>
              </w:rPr>
              <w:t>, 7 và 8 Điều này và giấy phép lao động hoặc bản sao có chứng thực giấy phép lao động đã được cấp.” Từ quy định trên, có thể có các cách hiểu khác nhau liên quan đến các trường hợp được phép áp dụng điểm b khoản 9 Điều 9 Nghị định 152/2020/NĐ-CP như sau: -</w:t>
            </w:r>
            <w:r>
              <w:rPr>
                <w:rFonts w:ascii="Times" w:eastAsia="Times New Roman" w:hAnsi="Times"/>
              </w:rPr>
              <w:t xml:space="preserve"> Cách hiểu 1: Quy định này chỉ áp dụng khi thay đổi chỉ một trong các nội dung bao gồm: (i) vị trí công việc; hoặc (ii) chức danh công việc; hoặc (iii) hình thức làm việc </w:t>
            </w:r>
            <w:r>
              <w:rPr>
                <w:rFonts w:ascii="Times" w:eastAsia="Times New Roman" w:hAnsi="Times"/>
              </w:rPr>
              <w:lastRenderedPageBreak/>
              <w:t>ghi trong giấy phép lao động. - Cách hiểu 2: Quy định này được áp dụng khi thay đổi v</w:t>
            </w:r>
            <w:r>
              <w:rPr>
                <w:rFonts w:ascii="Times" w:eastAsia="Times New Roman" w:hAnsi="Times"/>
              </w:rPr>
              <w:t xml:space="preserve">ị trí công việc hoặc chức danh công việc hoặc hình thức làm việc ghi trong giấy phép lao động và có thể được áp dụng khi thay đổi cùng lúc các nội dung trên (ví dụ như cùng lúc thay đổi cả vị trí công việc và chức danh công việc). Khi áp dụng quy định này </w:t>
            </w:r>
            <w:r>
              <w:rPr>
                <w:rFonts w:ascii="Times" w:eastAsia="Times New Roman" w:hAnsi="Times"/>
              </w:rPr>
              <w:t>để thực hiện xin cấp giấy phép lao động cho người lao động nước ngoài (cùng lúc thay đổi vị trí công việc và chức danh công việc), một số chuyên viên Sở Nội vụ cũng cách hiểu không thống nhất liên quan đến nội dung này.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B. Hướng dẫn áp dụng VBQPPL theo quy định tại Điều 61 Luật Ban </w:t>
            </w:r>
            <w:r>
              <w:rPr>
                <w:rFonts w:ascii="Times" w:eastAsia="Times New Roman" w:hAnsi="Times"/>
              </w:rPr>
              <w:lastRenderedPageBreak/>
              <w:t>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Công Ty Luật BIZLINK</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16:32:19</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Tại Khoản 3 Điều 7 Nghị định số 152/2020/NĐ-CP ngày 30/12/2020 về người lao động nước ngoài làm </w:t>
            </w:r>
            <w:r>
              <w:rPr>
                <w:rFonts w:ascii="Times" w:eastAsia="Times New Roman" w:hAnsi="Times"/>
              </w:rPr>
              <w:lastRenderedPageBreak/>
              <w:t>việc tại Việt Nam và tuyển dụ</w:t>
            </w:r>
            <w:r>
              <w:rPr>
                <w:rFonts w:ascii="Times" w:eastAsia="Times New Roman" w:hAnsi="Times"/>
              </w:rPr>
              <w:t>ng, quản lý người lao động Việt Nam làm việc cho tổ chức, cá nhân nước ngoài tại Việt Nam</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Tại Khoản 3 Điều 7 Nghị định số 152/2020/NĐ-CP quy định: “Di chuyển trong nội bộ doanh nghiệp thuộc phạm vi 11 </w:t>
            </w:r>
            <w:r>
              <w:rPr>
                <w:rFonts w:ascii="Times" w:eastAsia="Times New Roman" w:hAnsi="Times"/>
              </w:rPr>
              <w:lastRenderedPageBreak/>
              <w:t>ngành dịch vụ trong biểu cam kết dịch vụ của Việt Nam v</w:t>
            </w:r>
            <w:r>
              <w:rPr>
                <w:rFonts w:ascii="Times" w:eastAsia="Times New Roman" w:hAnsi="Times"/>
              </w:rPr>
              <w:t>ới Tổ chức Thương mại thế giới, bao gồm: kinh doanh, thông tin, xây dựng, phân phối, giáo dục, môi trường, tài chính, y tế, du lịch, văn hóa giải trí và vận tải.”. Tuy nhiên chưa quy định cụ thể những ngành dịch vụ (CPC) nào được miễn cấp giấy phép lao độn</w:t>
            </w:r>
            <w:r>
              <w:rPr>
                <w:rFonts w:ascii="Times" w:eastAsia="Times New Roman" w:hAnsi="Times"/>
              </w:rPr>
              <w:t>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w:t>
            </w:r>
            <w:r>
              <w:rPr>
                <w:rFonts w:ascii="Times" w:eastAsia="Times New Roman" w:hAnsi="Times"/>
              </w:rPr>
              <w:lastRenderedPageBreak/>
              <w:t>(theo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thành phố Hà Nội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16:30:04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Khoản 3 Điều 7 Nghị định số 152/2020/NĐ-CP ngày 30/12/2020 về người lao</w:t>
            </w:r>
            <w:r>
              <w:rPr>
                <w:rFonts w:ascii="Times" w:eastAsia="Times New Roman" w:hAnsi="Times"/>
              </w:rPr>
              <w:t xml:space="preserve"> động nước ngoài làm việc tại Việt Nam và tuyển dụng, quản lý người lao động Việt Nam làm việc cho tổ chức, cá nhân nước ngoài tại Việt Nam</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Khoản 3 Điều 7 Nghị định số 152/2020/NĐ-CP quy định: “Di chuyển trong nội bộ doanh nghiệp thuộc phạm vi 11 ngành</w:t>
            </w:r>
            <w:r>
              <w:rPr>
                <w:rFonts w:ascii="Times" w:eastAsia="Times New Roman" w:hAnsi="Times"/>
              </w:rPr>
              <w:t xml:space="preserve"> dịch vụ trong biểu cam kết dịch vụ của Việt Nam với Tổ chức Thương mại thế giới, bao gồm: kinh doanh, thông tin, xây dựng, phân phối, giáo dục, môi trường, tài chính, y tế, du lịch, văn hóa giải trí và vận tải.”. Tuy nhiên chưa quy </w:t>
            </w:r>
            <w:r>
              <w:rPr>
                <w:rFonts w:ascii="Times" w:eastAsia="Times New Roman" w:hAnsi="Times"/>
              </w:rPr>
              <w:lastRenderedPageBreak/>
              <w:t>định cụ thể những ngành</w:t>
            </w:r>
            <w:r>
              <w:rPr>
                <w:rFonts w:ascii="Times" w:eastAsia="Times New Roman" w:hAnsi="Times"/>
              </w:rPr>
              <w:t xml:space="preserve"> dịch vụ (CPC) nào được miễn cấp giấy phép lao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Đảng bộ cơ sở Trường Cao đẳng Luật Miền Trung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16:30:04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c, d và đ khoản 1 Điều 14 Nghị định 154/2025/NĐ-CP ngày 15/6/2025 của Chính phủ quy định về tinh giản biên chế.</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Nghị định quy định: “Đối với Ủy ban nhân dân cấp tỉnh c) Chỉ đạo Sở Nội vụ thẩm định danh sách đối tượng tinh giản biên chế của các cơ quan</w:t>
            </w:r>
            <w:r>
              <w:rPr>
                <w:rFonts w:ascii="Times" w:eastAsia="Times New Roman" w:hAnsi="Times"/>
              </w:rPr>
              <w:t xml:space="preserve">, tổ chức, đơn vị thuộc phạm vi quản lý; d) Chỉ đạo Sở Tài chính thẩm định dự toán kinh phí thực hiện tinh giản biên chế của các cơ quan, tổ chức, đơn vị thuộc phạm vi quản lý; trình cấp có thẩm quyền bố trí kinh phí từ dự toán chi ngân sách nhà nước hàng </w:t>
            </w:r>
            <w:r>
              <w:rPr>
                <w:rFonts w:ascii="Times" w:eastAsia="Times New Roman" w:hAnsi="Times"/>
              </w:rPr>
              <w:t xml:space="preserve">năm để thực hiện việc chi trả chính sách cho đối tượng tinh giản biên chế theo quy định; đ) Hàng năm, căn cứ tình hình thực hiện chính sách tinh giản biên chế (bao gồm số đối tượng tinh giản biên chế, số tiền trợ </w:t>
            </w:r>
            <w:r>
              <w:rPr>
                <w:rFonts w:ascii="Times" w:eastAsia="Times New Roman" w:hAnsi="Times"/>
              </w:rPr>
              <w:lastRenderedPageBreak/>
              <w:t>cấp cho từng đối tượng tinh giản biên chế q</w:t>
            </w:r>
            <w:r>
              <w:rPr>
                <w:rFonts w:ascii="Times" w:eastAsia="Times New Roman" w:hAnsi="Times"/>
              </w:rPr>
              <w:t>uy định tại khoản 3 Điều 12 Nghị định này), dự kiến kế hoạch thực hiện tinh giản biên chế năm sau liền kề, chỉ đạo Sở Tài chính xây dựng dự toán kinh phí thực hiện chính sách tinh giản biên chế để tổng hợp chung vào nhu cầu thực hiện cải cách tiền lương tr</w:t>
            </w:r>
            <w:r>
              <w:rPr>
                <w:rFonts w:ascii="Times" w:eastAsia="Times New Roman" w:hAnsi="Times"/>
              </w:rPr>
              <w:t>ong dự toán ngân sách nhà nước của năm sau liền kề của địa phương;” Giải trình: (1) căn cứ xác định tiền lương để tính hưởng trợ cấp tinh giản biên chế: tại điều 5 Nghị định 154/2025/NĐ-CP quy định: “1) Tiền lương hiện hưởng để tính trợ cấp là tiền lương t</w:t>
            </w:r>
            <w:r>
              <w:rPr>
                <w:rFonts w:ascii="Times" w:eastAsia="Times New Roman" w:hAnsi="Times"/>
              </w:rPr>
              <w:t xml:space="preserve">háng liền kề trước khi tinh giản biên chế, bao gồm: mức lương theo ngạch, bậc, chức vụ, chức danh, chức danh nghề nghiệp hoặc mức </w:t>
            </w:r>
            <w:r>
              <w:rPr>
                <w:rFonts w:ascii="Times" w:eastAsia="Times New Roman" w:hAnsi="Times"/>
              </w:rPr>
              <w:lastRenderedPageBreak/>
              <w:t>lương theo thỏa thuận của hợp đồng lao động hoặc mức lương của người quản lý công ty; các khoản phụ cấp lương …. 2) Phụ cấp hà</w:t>
            </w:r>
            <w:r>
              <w:rPr>
                <w:rFonts w:ascii="Times" w:eastAsia="Times New Roman" w:hAnsi="Times"/>
              </w:rPr>
              <w:t>ng tháng hiện hưởng của người hoạt động không chuyên trách ở cấp xã, ở thôn, tổ dân phố là phụ cấp của tháng liền kề trước khi nghỉ việc do ngân sách trung ương khoán quỹ phụ cấp để chi trả…” (2) Tại điểm a khoản 7, điểm a khoản 11 Điều 2 Thông tư số 10/20</w:t>
            </w:r>
            <w:r>
              <w:rPr>
                <w:rFonts w:ascii="Times" w:eastAsia="Times New Roman" w:hAnsi="Times"/>
              </w:rPr>
              <w:t>25/TT-BNV ngày 19/6/2025 quy định chức năng, nhiệm vụ, quyền hạn của Sở Nội vụ: - “Về thực hiện chế độ, chính sách tiền lương, phụ cấp và tiền thưởng đối với cán bộ, công chức, viên chức, lao động hợp đồng trong cơ quan, tổ chức hành chính, đơn vị sự nghiệ</w:t>
            </w:r>
            <w:r>
              <w:rPr>
                <w:rFonts w:ascii="Times" w:eastAsia="Times New Roman" w:hAnsi="Times"/>
              </w:rPr>
              <w:t xml:space="preserve">p công lập: a) Quyết định theo phân </w:t>
            </w:r>
            <w:r>
              <w:rPr>
                <w:rFonts w:ascii="Times" w:eastAsia="Times New Roman" w:hAnsi="Times"/>
              </w:rPr>
              <w:lastRenderedPageBreak/>
              <w:t>cấp hoặc trình Chủ tịch Ủy ban nhân dân cấp tỉnh quyết định việc nâng bậc lương thường xuyên, nâng bậc lương trước thời hạn và các chế độ, chính sách về tiền lương, phụ cấp, tiền thưởng và các chế độ chính sách khác theo</w:t>
            </w:r>
            <w:r>
              <w:rPr>
                <w:rFonts w:ascii="Times" w:eastAsia="Times New Roman" w:hAnsi="Times"/>
              </w:rPr>
              <w:t xml:space="preserve"> quy định đối với cán bộ, công chức, viên chức, lao động hợp đồng theo quy định của pháp luật và theo quy định của Ủy ban nhân dân cấp tỉnh;”. -“Về cán bộ, công chức, viên chức và người hoạt động không chuyên trách: a) Tham mưu, giúp Ủy ban nhân dân cấp tỉ</w:t>
            </w:r>
            <w:r>
              <w:rPr>
                <w:rFonts w:ascii="Times" w:eastAsia="Times New Roman" w:hAnsi="Times"/>
              </w:rPr>
              <w:t xml:space="preserve">nh thực hiện việc tuyển dụng, sử dụng và quản lý đối với ….. người hoạt động không chuyên trách theo quy định của Đảng, của pháp luật và quy định của Hội đồng nhân dân, Ủy ban nhân dân cấp tỉnh;” Từ điều (2) </w:t>
            </w:r>
            <w:r>
              <w:rPr>
                <w:rFonts w:ascii="Times" w:eastAsia="Times New Roman" w:hAnsi="Times"/>
              </w:rPr>
              <w:lastRenderedPageBreak/>
              <w:t>Sở Nội vụ là cơ quan thẩm định, quyết định các c</w:t>
            </w:r>
            <w:r>
              <w:rPr>
                <w:rFonts w:ascii="Times" w:eastAsia="Times New Roman" w:hAnsi="Times"/>
              </w:rPr>
              <w:t>hính sách tiền lương của cán bộ, công chức, viên chức và người hoạt động không chuyên trách theo đúng chức năng nhiệm vụ, quyền hạn được Bộ Nội vụ quy định tại Thông tư số 10/2025/TT-BNV; đây là các điều kiện, cơ sở để tính hưởng trợ cấp tinh giản biên chế</w:t>
            </w:r>
            <w:r>
              <w:rPr>
                <w:rFonts w:ascii="Times" w:eastAsia="Times New Roman" w:hAnsi="Times"/>
              </w:rPr>
              <w:t xml:space="preserve"> theo khi thực hiện chế độ theo quy định tại Nghị định 154/2025/NĐ-CP. Do đó, việc giao Sở Tài chính là cơ quan thẩm định kinh phí cho các đối tượng như quy định tại Nghị định 154/2025/NĐ-CP không đảm bảo cơ sở thực hiện, không hợp lý theo chức năng nhiệm </w:t>
            </w:r>
            <w:r>
              <w:rPr>
                <w:rFonts w:ascii="Times" w:eastAsia="Times New Roman" w:hAnsi="Times"/>
              </w:rPr>
              <w:t>vụ được giao, gây khó khăn, chậm trễ và dễ gặp sai sót trong quá trình thẩm định chính sách.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Phú Thọ</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w:t>
            </w:r>
            <w:r>
              <w:rPr>
                <w:rFonts w:ascii="Times" w:eastAsia="Times New Roman" w:hAnsi="Times"/>
              </w:rPr>
              <w:t>6:06:38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c khoản 2 Điều 5 Luật Thi đua, khen thưởng năm 2022</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điểm c khoản 2 Điều 5 Luật Thi đua, khen thưởng có nội dung quy định “… không khen thưởng nhiều lần, nhiều hình thức cho một thành tích đạt được;…”. Quy định này chưa được hướng dẫn c</w:t>
            </w:r>
            <w:r>
              <w:rPr>
                <w:rFonts w:ascii="Times" w:eastAsia="Times New Roman" w:hAnsi="Times"/>
              </w:rPr>
              <w:t>ách hiểu rõ ràng; trong quá trình áp dụng quy định này có cách hiểu như sau: thành tích (bao gồm cả sáng kiến) nếu đã được dùng để đề nghị tặng danh hiệu thi đua, hình thức khen thưởng rồi thì sẽ không được tiếp tục dùng để đề nghị khen thưởng các danh hiệ</w:t>
            </w:r>
            <w:r>
              <w:rPr>
                <w:rFonts w:ascii="Times" w:eastAsia="Times New Roman" w:hAnsi="Times"/>
              </w:rPr>
              <w:t xml:space="preserve">u thi đua, hình thức khen thưởng cao hơn do bị trùng thành tích. Tuy nhiên, Luật thi đua, khen thưởng quy định khen thưởng công trạng là loại hình khen thưởng theo tiêu chuẩn thành tích được tích lũy (từ thấp đến cao) và dùng danh hiệu thi </w:t>
            </w:r>
            <w:r>
              <w:rPr>
                <w:rFonts w:ascii="Times" w:eastAsia="Times New Roman" w:hAnsi="Times"/>
              </w:rPr>
              <w:lastRenderedPageBreak/>
              <w:t>đua, hình thức k</w:t>
            </w:r>
            <w:r>
              <w:rPr>
                <w:rFonts w:ascii="Times" w:eastAsia="Times New Roman" w:hAnsi="Times"/>
              </w:rPr>
              <w:t>hen thưởng thấp hơn để làm tiêu chuẩn, điều kiện. Nếu thực hiện theo cách hiểu này thì các tập thể, cá nhân không thể đủ điều kiện, tiêu chuẩn để đề nghị khen thưởng theo công trạng.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w:t>
            </w:r>
            <w:r>
              <w:rPr>
                <w:rFonts w:ascii="Times" w:eastAsia="Times New Roman" w:hAnsi="Times"/>
              </w:rPr>
              <w:t>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25, khoản 1 Điều 26, khoản 3 và khoản 4 Điều 34, khoản 2 và khoản 3 Điều 35, khoản 2 và khoản 3 Điều 36, khoản 2 và khoản 3 Điều 37, khoản 2</w:t>
            </w:r>
            <w:r>
              <w:rPr>
                <w:rFonts w:ascii="Times" w:eastAsia="Times New Roman" w:hAnsi="Times"/>
              </w:rPr>
              <w:t xml:space="preserve"> và khoản 3 Điều 38, khoản 2 và khoản 3 Điều 39, khoản 2 và khoản 3 Điều 40, khoản 2 và khoản 3 Điều 41, khoản 2 Điều 45, khoản 2 Điều 46, khoản 2 Điều 47, điểm b khoản 2 Điều 48, điểm b khoản 2 Điều 49, điểm b khoản 2 </w:t>
            </w:r>
            <w:r>
              <w:rPr>
                <w:rFonts w:ascii="Times" w:eastAsia="Times New Roman" w:hAnsi="Times"/>
              </w:rPr>
              <w:lastRenderedPageBreak/>
              <w:t>Điều 50, điểm đ khoản 2 Điều 62, điểm</w:t>
            </w:r>
            <w:r>
              <w:rPr>
                <w:rFonts w:ascii="Times" w:eastAsia="Times New Roman" w:hAnsi="Times"/>
              </w:rPr>
              <w:t xml:space="preserve"> đ khoản 2 Điều 63 Luật Thi đua, khen thưởng năm 2022</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Tại các khoản này có nội dung quy định “… tổ chức đảng, đoàn thể trong sạch, vững mạnh…”; tuy nhiên, Luật Thi đua, khen thưởng không quy định cụ thể số năm tổ chức đảng, đoàn thể đạt trong sạch vững mạn</w:t>
            </w:r>
            <w:r>
              <w:rPr>
                <w:rFonts w:ascii="Times" w:eastAsia="Times New Roman" w:hAnsi="Times"/>
              </w:rPr>
              <w:t xml:space="preserve">h, dẫn đến có nhiều cách hiểu khác nhau đối với quy định này, cụ thể: - Cách hiểu thứ nhất: Số năm tổ chức đảng, đoàn thể được công nhận đạt trong sạch, vững mạnh (hoặc hoàn thành xuất sắc nhiệm vụ) tương ứng với số năm lập được thành tích theo tiêu chuẩn </w:t>
            </w:r>
            <w:r>
              <w:rPr>
                <w:rFonts w:ascii="Times" w:eastAsia="Times New Roman" w:hAnsi="Times"/>
              </w:rPr>
              <w:t xml:space="preserve">đề </w:t>
            </w:r>
            <w:r>
              <w:rPr>
                <w:rFonts w:ascii="Times" w:eastAsia="Times New Roman" w:hAnsi="Times"/>
              </w:rPr>
              <w:lastRenderedPageBreak/>
              <w:t>nghị khen thưởng. Ví dụ tập thể đề nghị khen thưởng theo tiêu chuẩn có liên tục từ 05 năm trở lên… thì tương ứng trong 05 năm đó tổ chức đảng, đoàn thể phải được công nhận đạt trong sạch, vững mạnh (hoặc hoàn thành xuất sắc nhiệm vụ). - Các hiểu thứ hai</w:t>
            </w:r>
            <w:r>
              <w:rPr>
                <w:rFonts w:ascii="Times" w:eastAsia="Times New Roman" w:hAnsi="Times"/>
              </w:rPr>
              <w:t>: Tại thời điểm đề nghị khen thưởng, chỉ cần cấp có thẩm quyền xác nhận tổ chức đảng, đoàn thể đạt trong sạch, vững mạnh trên cơ sở kết quả quá trình lập thành tích của tập thể hoặc dùng kết quả tổ chức đảng, đoàn thể được công nhận hoàn thành xuất sắc nhi</w:t>
            </w:r>
            <w:r>
              <w:rPr>
                <w:rFonts w:ascii="Times" w:eastAsia="Times New Roman" w:hAnsi="Times"/>
              </w:rPr>
              <w:t xml:space="preserve">ệm vụ của năm cuối trong các năm tính thành tích để đề nghị khen thưởng theo quy định. Do đó, việc áp dụng quy định này trong đề nghị khen thưởng đối với các tập thể còn gặp khó khăn, </w:t>
            </w:r>
            <w:r>
              <w:rPr>
                <w:rFonts w:ascii="Times" w:eastAsia="Times New Roman" w:hAnsi="Times"/>
              </w:rPr>
              <w:lastRenderedPageBreak/>
              <w:t>vướng mắc.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w:t>
            </w:r>
            <w:r>
              <w:rPr>
                <w:rFonts w:ascii="Times" w:eastAsia="Times New Roman" w:hAnsi="Times"/>
              </w:rPr>
              <w:t>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a khoản 4 Điều 34; điểm a khoản 2 Điều 35; điểm a khoản 3 Điều 35; điểm a khoản 3 Điều 36; điểm a khoản 3 Điều 37; điểm a khoản 3 Điều 38; điểm a khoản 3 Điều 39; điểm a khoản 3 Điều 40; điểm a khoản 3 Điều 41; điểm đ khoản 1 và điểm d khoản 4 Điều 42</w:t>
            </w:r>
            <w:r>
              <w:rPr>
                <w:rFonts w:ascii="Times" w:eastAsia="Times New Roman" w:hAnsi="Times"/>
              </w:rPr>
              <w:t xml:space="preserve">; điểm đ khoản 1 và điểm d khoản 4 Điều 43; điểm e khoản 1 và điểm đ khoản 4 Điều 44; điểm c khoản 1 và điểm b khoản 2 Điều 45; điểm c khoản 1 và điểm b khoản 2 Điều 46; điểm c khoản 1 và điểm b khoản 2 Điều 47, điểm b khoản 1 và điểm e khoản 4 Điều 73 </w:t>
            </w:r>
            <w:r>
              <w:rPr>
                <w:rFonts w:ascii="Times" w:eastAsia="Times New Roman" w:hAnsi="Times"/>
              </w:rPr>
              <w:lastRenderedPageBreak/>
              <w:t>Luậ</w:t>
            </w:r>
            <w:r>
              <w:rPr>
                <w:rFonts w:ascii="Times" w:eastAsia="Times New Roman" w:hAnsi="Times"/>
              </w:rPr>
              <w:t>t Thi đua, khen thưởng năm 2022</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Tại các điểm này có quy định “và có” hoặc “sau đó có” liên tục từ 05 năm trở lên đến thời điểm đề nghị … Việc áp dụng quy định này có nhiều cách hiểu khác nhau, cụ thể: - Cách hiểu thứ nhất: tập thể hoặc cá nhân đã được tặng</w:t>
            </w:r>
            <w:r>
              <w:rPr>
                <w:rFonts w:ascii="Times" w:eastAsia="Times New Roman" w:hAnsi="Times"/>
              </w:rPr>
              <w:t xml:space="preserve"> một hình thức khen thưởng thì liền kề tiếp theo ngay sau năm đó phải có liên tục từ 05 năm trở lên đến thời điểm đề nghị được công nhận hoàn thành tốt nhiệm vụ trở lên (đối với cá nhân) hoặc đạt danh hiệu “Tập thể lao động xuất sắc”/ “Đơn vị quyết thắng” </w:t>
            </w:r>
            <w:r>
              <w:rPr>
                <w:rFonts w:ascii="Times" w:eastAsia="Times New Roman" w:hAnsi="Times"/>
              </w:rPr>
              <w:t xml:space="preserve">(đối với tập thể)… - Cách hiểu thứ hai: tập thể hoặc cá nhân được tặng một hình thức khen thưởng thì không nhất thiết liền kề tiếp theo ngay sau năm đó, mà chỉ cần thời gian sau đó tính </w:t>
            </w:r>
            <w:r>
              <w:rPr>
                <w:rFonts w:ascii="Times" w:eastAsia="Times New Roman" w:hAnsi="Times"/>
              </w:rPr>
              <w:lastRenderedPageBreak/>
              <w:t xml:space="preserve">đến thời điểm xét có liên tục từ 05 năm trở lên đến thời điểm đề nghị </w:t>
            </w:r>
            <w:r>
              <w:rPr>
                <w:rFonts w:ascii="Times" w:eastAsia="Times New Roman" w:hAnsi="Times"/>
              </w:rPr>
              <w:t>được công nhận hoàn thành tốt nhiệm vụ trở lên (đối với cá nhân) hoặc đạt danh hiệu “Tập thể lao động xuất sắc”/ “Đơn vị quyết thắng” (đối với tập thể)…</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VBQPPL của </w:t>
            </w:r>
            <w:r>
              <w:rPr>
                <w:rFonts w:ascii="Times" w:eastAsia="Times New Roman" w:hAnsi="Times"/>
              </w:rPr>
              <w:t>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81 Luật Thi đua, khen thưởng năm 2022</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khoản này có quy định “Ngoài các hình thức khen thưởng được quy định tại Luật này, các cơ quan, tổ chức, cá nhân có thẩm quyền c</w:t>
            </w:r>
            <w:r>
              <w:rPr>
                <w:rFonts w:ascii="Times" w:eastAsia="Times New Roman" w:hAnsi="Times"/>
              </w:rPr>
              <w:t>ó thể thực hiện các hình thức khen thưởng khác nhằm động viên đối với cá nhân, tập thể có thành tích để kịp thời nêu gương trong lao động, sản xuất, công tác và động viên phong trào thi đua, phù hợp với các nguyên tắc do Luật này quy định”. Tuy nhiên, Điều</w:t>
            </w:r>
            <w:r>
              <w:rPr>
                <w:rFonts w:ascii="Times" w:eastAsia="Times New Roman" w:hAnsi="Times"/>
              </w:rPr>
              <w:t xml:space="preserve"> 9 Luật Thi đua, khen thưởng năm 2022 chỉ quy định 07 hình thức khen </w:t>
            </w:r>
            <w:r>
              <w:rPr>
                <w:rFonts w:ascii="Times" w:eastAsia="Times New Roman" w:hAnsi="Times"/>
              </w:rPr>
              <w:lastRenderedPageBreak/>
              <w:t>thưởng; không có nội dung nào quy định về các hình thức khen thưởng khác, cũng không giao cho các cơ quan, tổ chức, cá nhân có thẩm quyền quy định về các hình thức khen thưởng khác, nên t</w:t>
            </w:r>
            <w:r>
              <w:rPr>
                <w:rFonts w:ascii="Times" w:eastAsia="Times New Roman" w:hAnsi="Times"/>
              </w:rPr>
              <w:t>rên thực tế không thể thực hiện được.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9 Điều 33 Nghị định 152/2025/NĐ-CP n</w:t>
            </w:r>
            <w:r>
              <w:rPr>
                <w:rFonts w:ascii="Times" w:eastAsia="Times New Roman" w:hAnsi="Times"/>
              </w:rPr>
              <w:t>gày 14/6/2025 của Chính phủ</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khoản này có quy định: “Báo cáo thành tích của cá nhân, tập thể, hộ gia đình được đề nghị khen thưởng phải phù hợp với điều kiện, tiêu chuẩn của danh hiệu thi đua hoặc hình thức khen thưởng theo quy định và thể hiện theo mẫu</w:t>
            </w:r>
            <w:r>
              <w:rPr>
                <w:rFonts w:ascii="Times" w:eastAsia="Times New Roman" w:hAnsi="Times"/>
              </w:rPr>
              <w:t xml:space="preserve"> tại Phụ lục kèm theo Nghị định này....” Tuy nhiên, tại phụ lục kèm theo Nghị định số 152/2025/NĐ-CP không quy định mẫu báo cáo thành tích đối với đối tượng hộ gia đình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Sở </w:t>
            </w:r>
            <w:r>
              <w:rPr>
                <w:rFonts w:ascii="Times" w:eastAsia="Times New Roman" w:hAnsi="Times"/>
              </w:rPr>
              <w:t>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Tại điểm a khoản 2 Điều 24 Nghị định số 120/2020/NĐ-CP và khoản 2 Điều 19 Nghị định số 150/2025/NĐ-CP của Chính phủ</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Tại điểm a khoản 2 Điều 24 Nghị định số 120/2020/NĐ-CP ngày 07/10/2020 của Chính phủ quy định về thành lập, tổ chức lại, giải thể đơn vị sự nghiệp công lập quy định: “Thẩm quyền của Chủ tịch UBND cấp tỉnh: Quy định chức năng, nhiệm vụ, quyền hạn và cơ cấu </w:t>
            </w:r>
            <w:r>
              <w:rPr>
                <w:rFonts w:ascii="Times" w:eastAsia="Times New Roman" w:hAnsi="Times"/>
              </w:rPr>
              <w:t xml:space="preserve">tổ chức của các đơn vị sự nghiệp công lập … Đơn vị sự nghiệp công lập thuộc cơ quan chuyên môn thuộc Ủy ban nhân dân cấp tỉnh (sau đây gọi chung là sở) theo quy định của pháp luật”. Tuy nhiên, tại khoản 2 Điều 19 Nghị định số 150/2025/NĐ-CP ngày 12/6/2025 </w:t>
            </w:r>
            <w:r>
              <w:rPr>
                <w:rFonts w:ascii="Times" w:eastAsia="Times New Roman" w:hAnsi="Times"/>
              </w:rPr>
              <w:t xml:space="preserve">của Chính phủ quy định tổ chức các cơ quan chuyên môn thuộc Ủy ban nhân dân tỉnh, thành phố trực thuộc trung ương và Ủy ban nhân dân xã, phường, đặc </w:t>
            </w:r>
            <w:r>
              <w:rPr>
                <w:rFonts w:ascii="Times" w:eastAsia="Times New Roman" w:hAnsi="Times"/>
              </w:rPr>
              <w:lastRenderedPageBreak/>
              <w:t>khu thuộc tỉnh, thành phố trực thuộc trung ương quy định: “Ủy ban nhân dân cấp tỉnh: Quy định chức năng, nh</w:t>
            </w:r>
            <w:r>
              <w:rPr>
                <w:rFonts w:ascii="Times" w:eastAsia="Times New Roman" w:hAnsi="Times"/>
              </w:rPr>
              <w:t xml:space="preserve">iệm vụ, quyền hạn và cơ cấu tổ chức của chi cục, đơn vị sự nghiệp công lập thuộc sở theo quy định tại Nghị định này, trừ trường hợp pháp luật chuyên ngành có quy định khác. Như vậy, thẩm quyền ban hành quyết định quy định chức năng, nhiệm vụ, quyền hạn và </w:t>
            </w:r>
            <w:r>
              <w:rPr>
                <w:rFonts w:ascii="Times" w:eastAsia="Times New Roman" w:hAnsi="Times"/>
              </w:rPr>
              <w:t>cơ cấu tổ chức của đơn vị sự nghiệp công lập thuộc sở không có sự thống nhất giữa 02 nghị định nói trên.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39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Khoản 9 Điều 54 </w:t>
            </w:r>
            <w:r>
              <w:rPr>
                <w:rFonts w:ascii="Times" w:eastAsia="Times New Roman" w:hAnsi="Times"/>
              </w:rPr>
              <w:t xml:space="preserve">Luật Tổ chức chính quyền địa phương năm 2025 về Điều khoản chuyển tiếp Điều 13 Nghị quyết 190/2025/QH15 quy định về xử lý </w:t>
            </w:r>
            <w:r>
              <w:rPr>
                <w:rFonts w:ascii="Times" w:eastAsia="Times New Roman" w:hAnsi="Times"/>
              </w:rPr>
              <w:lastRenderedPageBreak/>
              <w:t>vấn đề liên quan đến sắp xếp tổ chức bộ máy nhà nước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Tại khoản 9 Điều 54 Luật Tổ chức chính quyền địa phương về Điều khoản chuyển tiếp</w:t>
            </w:r>
            <w:r>
              <w:rPr>
                <w:rFonts w:ascii="Times" w:eastAsia="Times New Roman" w:hAnsi="Times"/>
              </w:rPr>
              <w:t xml:space="preserve"> và Điều 13 Nghị quyết 190/2025/QH15 quy định về xử lý vấn đề liên quan đến sắp xếp tổ chức bộ máy </w:t>
            </w:r>
            <w:r>
              <w:rPr>
                <w:rFonts w:ascii="Times" w:eastAsia="Times New Roman" w:hAnsi="Times"/>
              </w:rPr>
              <w:lastRenderedPageBreak/>
              <w:t>nhà nước do Quốc hội ban hành đều có quy định giao cho UBND cấp tỉnh ban hành văn bản hành chính trong trường hợp cần thiết để giải quyết các vấn đề phát sin</w:t>
            </w:r>
            <w:r>
              <w:rPr>
                <w:rFonts w:ascii="Times" w:eastAsia="Times New Roman" w:hAnsi="Times"/>
              </w:rPr>
              <w:t>h khi tổ chức chính quyền địa phương 02 cấp. Trong khi đó, không quy định cho cấp xã có cơ chế đặc thù này, mặc dù Luật Ban hành văn bản quy phạm pháp luật sửa đổi, bổ sung ngày 25/6/2025 đã bổ sung thẩm quyền ban hành văn bản quy phạm pháp luật cho cấp xã</w:t>
            </w:r>
            <w:r>
              <w:rPr>
                <w:rFonts w:ascii="Times" w:eastAsia="Times New Roman" w:hAnsi="Times"/>
              </w:rPr>
              <w:t xml:space="preserve">. Như vậy, trong một số trường hợp UBND cấp xã phải ban hành văn bản QPPL (như chức năng, nhiệm vụ của các phòng chuyên môn) nhưng thời điểm hiện tại để ban hành theo hình thức văn bản quy phạm thì không đảm bảo thời gian, trình tự, thủ tục, vì vậy cần có </w:t>
            </w:r>
            <w:r>
              <w:rPr>
                <w:rFonts w:ascii="Times" w:eastAsia="Times New Roman" w:hAnsi="Times"/>
              </w:rPr>
              <w:lastRenderedPageBreak/>
              <w:t>cơ chế đặc thù để cho phép UBND cấp xã có thể tạm thời ban hành văn bản hành chính để giải quyết kịp thời các vấn đề phát sinh (tương tự như cấp tỉnh).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w:t>
            </w:r>
            <w:r>
              <w:rPr>
                <w:rFonts w:ascii="Times" w:eastAsia="Times New Roman" w:hAnsi="Times"/>
              </w:rPr>
              <w:lastRenderedPageBreak/>
              <w:t>gọn ban hành VBQPPL của L</w:t>
            </w:r>
            <w:r>
              <w:rPr>
                <w:rFonts w:ascii="Times" w:eastAsia="Times New Roman" w:hAnsi="Times"/>
              </w:rPr>
              <w:t>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14 Luật Tổ chức chính quyền địa phương năm 2025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14 Luật tổ chức chính quyền địa phương quy định về việc ủy quyền: Nội dung ủy quyền quy định tại Điều 14 Luật tổ chức Chính quyền địa phương ngày 16/06/2025 có sự thay đổi, mở rộng hơn so với trước đây nhưng chưa được pháp luật điều chỉnh cụ thể nên c</w:t>
            </w:r>
            <w:r>
              <w:rPr>
                <w:rFonts w:ascii="Times" w:eastAsia="Times New Roman" w:hAnsi="Times"/>
              </w:rPr>
              <w:t>òn khó khăn, vướng mắc trong quá trình triển khai,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A. Giải thích luật, nghị quyết của Quốc hội, pháp lệnh, nghị quyết của Ủy ban Thường vụ Quốc hội theo quy định tại 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41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Điểm d Khoản 6 Điều 28 Nghị định 131/2021/NĐ-CP ngày 30/12/2021 của Chính phủ quy định chi tiết và </w:t>
            </w:r>
            <w:r>
              <w:rPr>
                <w:rFonts w:ascii="Times" w:eastAsia="Times New Roman" w:hAnsi="Times"/>
              </w:rPr>
              <w:lastRenderedPageBreak/>
              <w:t>biện pháp thi hành Pháp lệnh Ưu đãi người có công với cách mạng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Tại Khoản 1 Điều 28 Nghị định 131/2021/NĐ-CP ngày 30/12/2021 quy định</w:t>
            </w:r>
            <w:r>
              <w:rPr>
                <w:rFonts w:ascii="Times" w:eastAsia="Times New Roman" w:hAnsi="Times"/>
              </w:rPr>
              <w:t xml:space="preserve"> Hồ sơ, thủ tục giải quyết chế độ thờ cúng </w:t>
            </w:r>
            <w:r>
              <w:rPr>
                <w:rFonts w:ascii="Times" w:eastAsia="Times New Roman" w:hAnsi="Times"/>
              </w:rPr>
              <w:lastRenderedPageBreak/>
              <w:t>Liệt sĩ quy định: “Cá nhân làm đơn đề nghị theo Mẫu số 18 kèm theo bản sao được chứng thực từ Bằng Tổ quốc ghi công” Đối với những trường hợp thay đổi người hưởng trợ cấp thờ cúng liệt sĩ cần phải kèm theo bản sao</w:t>
            </w:r>
            <w:r>
              <w:rPr>
                <w:rFonts w:ascii="Times" w:eastAsia="Times New Roman" w:hAnsi="Times"/>
              </w:rPr>
              <w:t xml:space="preserve"> Bằng Tổ quốc ghi công là không cần thiết, dư thừa, nhiều trường hợp thường xuyên làm hồ sơ thay đổi người hưởng trợ cấp thờ cúng do điều kiện người thờ cúng chết sẽ trùng giấy tờ nhiều trong hồ sơ Liệt sĩ. - Tại Điểm d Khoản 6 Điều 28 Nghị định 131/2021/N</w:t>
            </w:r>
            <w:r>
              <w:rPr>
                <w:rFonts w:ascii="Times" w:eastAsia="Times New Roman" w:hAnsi="Times"/>
              </w:rPr>
              <w:t xml:space="preserve">Đ-CP quy định: “Trường hợp không xác định được người ủy quyền thì Sở Lao động Thương binh và Xã hội (Nay là Sở Nội vụ) ban hành Quyết định trợ cấp thờ cúng Liệt sĩ đối với Ủy ban nhân dân cấp xã nơi Liệt sĩ cư trú trước </w:t>
            </w:r>
            <w:r>
              <w:rPr>
                <w:rFonts w:ascii="Times" w:eastAsia="Times New Roman" w:hAnsi="Times"/>
              </w:rPr>
              <w:lastRenderedPageBreak/>
              <w:t>khi tham gia hoạt động cách mạng” đi</w:t>
            </w:r>
            <w:r>
              <w:rPr>
                <w:rFonts w:ascii="Times" w:eastAsia="Times New Roman" w:hAnsi="Times"/>
              </w:rPr>
              <w:t>ều này là không hợp lý đối với tình hình thực tế bởi vì: - Thứ nhất, theo Mẫu 07 Nghị định 131 Bản khai đề nghị trợ cấp thờ cúng liệt sĩ, UBND xã cử 1 cán bộ đại diện đứng tên kê khai hồ sơ, tuy nhiên cán bộ cấp xã thường xuyên thay đổi chức vụ, luân chuyể</w:t>
            </w:r>
            <w:r>
              <w:rPr>
                <w:rFonts w:ascii="Times" w:eastAsia="Times New Roman" w:hAnsi="Times"/>
              </w:rPr>
              <w:t>n, nghỉ việc, vì vậy, khi có sự thay đổi cán bộ lại phải yêu cầu gia đình thờ cúng liệt sĩ pho tô Bằng Tổ quốc ghi công đến UBND xã để lập lại hồ sơ mới trong khi gia đình họ vẫn được họ tộc công nhận đang thờ cúng liệt sĩ lại không được đứng tên. - Thứ ha</w:t>
            </w:r>
            <w:r>
              <w:rPr>
                <w:rFonts w:ascii="Times" w:eastAsia="Times New Roman" w:hAnsi="Times"/>
              </w:rPr>
              <w:t xml:space="preserve">i, việc giao cho UBND cấp xã nơi Liệt sĩ cư trú trước khi tham gia hoạt động cách mạng là không phù hợp thực tế vì hiện tại có 1 số hồ sơ liệt sĩ đã được thân nhân </w:t>
            </w:r>
            <w:r>
              <w:rPr>
                <w:rFonts w:ascii="Times" w:eastAsia="Times New Roman" w:hAnsi="Times"/>
              </w:rPr>
              <w:lastRenderedPageBreak/>
              <w:t xml:space="preserve">hoặc người thờ cúng di chuyển đến địa phương khác, có thể di chuyển cả mộ liệt sĩ hoặc liệt </w:t>
            </w:r>
            <w:r>
              <w:rPr>
                <w:rFonts w:ascii="Times" w:eastAsia="Times New Roman" w:hAnsi="Times"/>
              </w:rPr>
              <w:t xml:space="preserve">sĩ chưa tìm thấy hài cốt, thì việc UBND cấp xã nơi liệt sĩ cư trú trước khi tham gia cách mạng khó khăn trong việc thực hiện nghi thức dâng hương, trong khi đó theo phong tục truyền thống của người Việt Nam việc thờ cúng vẫn được truyền cho các thế hệ nối </w:t>
            </w:r>
            <w:r>
              <w:rPr>
                <w:rFonts w:ascii="Times" w:eastAsia="Times New Roman" w:hAnsi="Times"/>
              </w:rPr>
              <w:t>tiếp trong họ tộc thờ cúng.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w:t>
            </w:r>
            <w:r>
              <w:rPr>
                <w:rFonts w:ascii="Times" w:eastAsia="Times New Roman" w:hAnsi="Times"/>
              </w:rPr>
              <w:lastRenderedPageBreak/>
              <w:t>(theo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15:38:40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11 Điều 4 Nghị định số 150/2025/NĐ-CP ngày 12/</w:t>
            </w:r>
            <w:r>
              <w:rPr>
                <w:rFonts w:ascii="Times" w:eastAsia="Times New Roman" w:hAnsi="Times"/>
              </w:rPr>
              <w:t xml:space="preserve">6/2025 của Chính phủ quy định tổ chức các cơ quan chuyên môn thuộc Ủy ban nhân dân tỉnh, thành phố trực thuộc trung ương và Ủy ban nhân dân xã, phường, đặc khu thuộc tỉnh, thành phố </w:t>
            </w:r>
            <w:r>
              <w:rPr>
                <w:rFonts w:ascii="Times" w:eastAsia="Times New Roman" w:hAnsi="Times"/>
              </w:rPr>
              <w:lastRenderedPageBreak/>
              <w:t>trực thuộc trung ương Khoản 3 Điều 20 Nghị định số 150/2025/NĐ-CP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 Khoản </w:t>
            </w:r>
            <w:r>
              <w:rPr>
                <w:rFonts w:ascii="Times" w:eastAsia="Times New Roman" w:hAnsi="Times"/>
              </w:rPr>
              <w:t xml:space="preserve">11 Điều 4 Nghị định số 150/2025/NĐ-CP quy định nhiệm vụ và quyền hạn của Sở: “Quy định cụ thể chức năng, nhiệm vụ, quyền hạn của văn phòng; phòng chuyên môn, nghiệp vụ, đơn vị sự nghiệp công lập thuộc chi cục thuộc sở (nếu có) phù hợp với chức năng, nhiệm </w:t>
            </w:r>
            <w:r>
              <w:rPr>
                <w:rFonts w:ascii="Times" w:eastAsia="Times New Roman" w:hAnsi="Times"/>
              </w:rPr>
              <w:t xml:space="preserve">vụ, quyền hạn của sở.” - Khoản 3 </w:t>
            </w:r>
            <w:r>
              <w:rPr>
                <w:rFonts w:ascii="Times" w:eastAsia="Times New Roman" w:hAnsi="Times"/>
              </w:rPr>
              <w:lastRenderedPageBreak/>
              <w:t>Điều 20 Nghị định số 150/2025/NĐ-CP quy định Chủ tịch UBND tỉnh: “Quy định chức năng, nhiệm vụ, quyền hạn và cơ cấu tổ chức của đơn vị sự nghiệp công lập thuộc sở theo quy định của pháp luật chuyên ngành và đơn vị sự nghiệp</w:t>
            </w:r>
            <w:r>
              <w:rPr>
                <w:rFonts w:ascii="Times" w:eastAsia="Times New Roman" w:hAnsi="Times"/>
              </w:rPr>
              <w:t xml:space="preserve"> công lập thuộc chi cục thuộc sở”. Hai quy định nêu trên không rõ ràng về thẩm quyền, cụ thể: (i) Cùng một nội dung là chức năng, nhiệm vụ, quyền hạn của đơn vị sự nghiệp công lập thuộc chi cục, nhưng được giao cho cả Sở và Chủ tịch UBND tỉnh thực hiện mà </w:t>
            </w:r>
            <w:r>
              <w:rPr>
                <w:rFonts w:ascii="Times" w:eastAsia="Times New Roman" w:hAnsi="Times"/>
              </w:rPr>
              <w:t xml:space="preserve">không có sự phân định rõ ràng về phạm vi, nội dung và hình thức văn bản; (ii) Không xác định rõ ràng thẩm quyền của Sở trong việc “quy định cụ thể” được hiểu như thế nào gây khó khăn cho địa phương </w:t>
            </w:r>
            <w:r>
              <w:rPr>
                <w:rFonts w:ascii="Times" w:eastAsia="Times New Roman" w:hAnsi="Times"/>
              </w:rPr>
              <w:lastRenderedPageBreak/>
              <w:t>khi triển khai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w:t>
            </w:r>
            <w:r>
              <w:rPr>
                <w:rFonts w:ascii="Times" w:eastAsia="Times New Roman" w:hAnsi="Times"/>
              </w:rPr>
              <w:t xml:space="preserve">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Bắc 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15:31:48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4 Điều 21 Nghị định số 115/2020/NĐ-CP ngày 25/9/2020 của Chính phủ Quy định về tuyển dụng, sử dụng và quản lý viên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4 Điều 21 Nghị định số 115/2020/NĐ-CP quy định: “Trong thời gian thực hiện chế độ tập sự đơn vị sự nghiệp công lập quản lý sử dụng viên chức phải cử viên chức tham gia khóa đào tạo bồi dưỡng chức danh nghề nghiệp...” Tuy nhiên trong một số ngành tron</w:t>
            </w:r>
            <w:r>
              <w:rPr>
                <w:rFonts w:ascii="Times" w:eastAsia="Times New Roman" w:hAnsi="Times"/>
              </w:rPr>
              <w:t>g thời gian tập sự chưa có lớp tổ chức bồi dưỡng chức danh nghề nghiệp.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Bắc 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15:31:48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44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25</w:t>
            </w:r>
            <w:r>
              <w:rPr>
                <w:rFonts w:ascii="Times" w:eastAsia="Times New Roman" w:hAnsi="Times"/>
              </w:rPr>
              <w:t xml:space="preserve"> Điều 1 Nghị định 85/2023/NĐ-CP ngày 07/12/2023 của Chính phủ Sửa đổi, bổ sung một số điều của Nghị định số 115/2020/NĐ-CP ngày 25/9/2020 Về tuyển dụng, sử dụng và quản lý </w:t>
            </w:r>
            <w:r>
              <w:rPr>
                <w:rFonts w:ascii="Times" w:eastAsia="Times New Roman" w:hAnsi="Times"/>
              </w:rPr>
              <w:lastRenderedPageBreak/>
              <w:t>viên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Quy định Khoản 25 Điều 1 Nghị định 85/2023/NĐ-CP về quy trình thực hiện bư</w:t>
            </w:r>
            <w:r>
              <w:rPr>
                <w:rFonts w:ascii="Times" w:eastAsia="Times New Roman" w:hAnsi="Times"/>
              </w:rPr>
              <w:t xml:space="preserve">ớc 4: Hội nghị cán bộ chủ chốt (áp dụng cho bổ nhiệm/bổ nhiệm lại viên chức quản lý); thành phần tham gia gồm: “Tập thể lãnh đạo theo quy định tại điểm b khoản này; người đứng đầu các tổ chức </w:t>
            </w:r>
            <w:r>
              <w:rPr>
                <w:rFonts w:ascii="Times" w:eastAsia="Times New Roman" w:hAnsi="Times"/>
              </w:rPr>
              <w:lastRenderedPageBreak/>
              <w:t xml:space="preserve">chính trị - xã hội của đơn vị sự nghiệp công lập; cấp phó người </w:t>
            </w:r>
            <w:r>
              <w:rPr>
                <w:rFonts w:ascii="Times" w:eastAsia="Times New Roman" w:hAnsi="Times"/>
              </w:rPr>
              <w:t xml:space="preserve">đứng đầu đơn vị thuộc và trực thuộc (nếu có)... toàn thể viên chức của cơ quan, đơn vị.” Thành phần tham dự quy trình bổ nhiệm tại Bước 4 không có lao động hợp đồng, gây bất cập trong quá trình thực hiện quy trình bổ nhiệm tại các đơn vị có nhiều lao động </w:t>
            </w:r>
            <w:r>
              <w:rPr>
                <w:rFonts w:ascii="Times" w:eastAsia="Times New Roman" w:hAnsi="Times"/>
              </w:rPr>
              <w:t>hợp đồng.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VBQPPL của Luật </w:t>
            </w:r>
            <w:r>
              <w:rPr>
                <w:rFonts w:ascii="Times" w:eastAsia="Times New Roman" w:hAnsi="Times"/>
              </w:rPr>
              <w:lastRenderedPageBreak/>
              <w:t>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Bắc 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15:31:48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3 Điều 12 Nghị định số 154/2025/NĐ-CP ngày 15/6/2025 của Chính p</w:t>
            </w:r>
            <w:r>
              <w:rPr>
                <w:rFonts w:ascii="Times" w:eastAsia="Times New Roman" w:hAnsi="Times"/>
              </w:rPr>
              <w:t>hủ quy định về tinh giản biên chế về trách nhiệm của người đứng đầu cơ quan, tổ chức, đơn vị trực tiếp quản lý đối tượng tinh giản biên chế</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3 Điều 12 Nghị định số 154/2025/NĐ-CP ngày 15/6/2025 của Chính phủ quy định về tinh giản biên chế về trách nhi</w:t>
            </w:r>
            <w:r>
              <w:rPr>
                <w:rFonts w:ascii="Times" w:eastAsia="Times New Roman" w:hAnsi="Times"/>
              </w:rPr>
              <w:t xml:space="preserve">ệm của người đứng đầu cơ quan, tổ chức, đơn vị trực tiếp quản lý đối tượng tinh giản biên chế: "3. Lập danh sách đối tượng tinh giản biên chế và dự toán số tiền trợ cấp cho từng đối tượng tinh giản biên chế trình cấp có thẩm quyền phê </w:t>
            </w:r>
            <w:r>
              <w:rPr>
                <w:rFonts w:ascii="Times" w:eastAsia="Times New Roman" w:hAnsi="Times"/>
              </w:rPr>
              <w:lastRenderedPageBreak/>
              <w:t>duyệt." - Theo quy đị</w:t>
            </w:r>
            <w:r>
              <w:rPr>
                <w:rFonts w:ascii="Times" w:eastAsia="Times New Roman" w:hAnsi="Times"/>
              </w:rPr>
              <w:t>nh tại khoản này đơn vị có nhiều cách hiểu khác nhau: + Các hiểu thứ nhất: Tất cả các đơn vị sự nghiệp công lập bao gồm cả đơn vị sự nghiệp nhóm 1,2,3,4 đều phải lập danh sách đối tượng tinh giản biên chế và dự toán số tiền trợ cấp cho từng đối tượng trình</w:t>
            </w:r>
            <w:r>
              <w:rPr>
                <w:rFonts w:ascii="Times" w:eastAsia="Times New Roman" w:hAnsi="Times"/>
              </w:rPr>
              <w:t xml:space="preserve"> cấp có thẩm quyền phê duyệt. + Các hiểu thứ hai: Các đơn vị sự nghiệp thuộc nhóm 1,2 có thẩm quyền phê duyệt danh sách đối tượng tinh giản biên chế và dự toán số tiền trợ cấp cho từng đối tượng tinh giản biên chế còn các đơn vị sự nghiệp thuộc nhóm 3,4 ph</w:t>
            </w:r>
            <w:r>
              <w:rPr>
                <w:rFonts w:ascii="Times" w:eastAsia="Times New Roman" w:hAnsi="Times"/>
              </w:rPr>
              <w:t xml:space="preserve">ải gửi danh sách và dự toán trình cấp có thẩm quyền phê duyệt. - Trường hợp gửi hồ sơ trình cấp có thẩm quyền phê duyệt, ngoài danh sách đối tượng </w:t>
            </w:r>
            <w:r>
              <w:rPr>
                <w:rFonts w:ascii="Times" w:eastAsia="Times New Roman" w:hAnsi="Times"/>
              </w:rPr>
              <w:lastRenderedPageBreak/>
              <w:t>tinh giản biên chế và dự toán số tiền trợ cấp cho từng đối tượng tinh giản biên chế có cần thêm giấy tờ cá nh</w:t>
            </w:r>
            <w:r>
              <w:rPr>
                <w:rFonts w:ascii="Times" w:eastAsia="Times New Roman" w:hAnsi="Times"/>
              </w:rPr>
              <w:t>ân của từng đối tượng không? Nêu rõ thành phần hồ sơ cần phải chuẩn bị.</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Bắc 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15:31:48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Nghị định số 112/2020/NĐ-CP ngày 18/9/2020 của Chính phủ Quy định về xử lý kỷ luật cán bộ, công chức, viên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Nghị định số 112/2020/NĐ-CP ngày 18/9/2020 hiện chưa có mẫu biểu áp dụng thống nhất trong các bước tiến hành xử lý kỷ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C. Sửa đổi, bổ sung, </w:t>
            </w:r>
            <w:r>
              <w:rPr>
                <w:rFonts w:ascii="Times" w:eastAsia="Times New Roman" w:hAnsi="Times"/>
              </w:rPr>
              <w:t>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Bắc 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15:31:48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47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4 Nghị định 204/2004/NĐ-CP ngày 14/12/2004 của Chính phủ Về chế độ tiền lương đối với cán bộ, cô</w:t>
            </w:r>
            <w:r>
              <w:rPr>
                <w:rFonts w:ascii="Times" w:eastAsia="Times New Roman" w:hAnsi="Times"/>
              </w:rPr>
              <w:t xml:space="preserve">ng chức, viên </w:t>
            </w:r>
            <w:r>
              <w:rPr>
                <w:rFonts w:ascii="Times" w:eastAsia="Times New Roman" w:hAnsi="Times"/>
              </w:rPr>
              <w:lastRenderedPageBreak/>
              <w:t>chức và lực lượng vũ trang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Nghị định 204/2004/NĐ-CP về mức lương tối thiểu đối với cán bộ, công chức, viên chức và lực lượng vũ trang áp dụng chưa phù hợp với Luật Lao </w:t>
            </w:r>
            <w:r>
              <w:rPr>
                <w:rFonts w:ascii="Times" w:eastAsia="Times New Roman" w:hAnsi="Times"/>
              </w:rPr>
              <w:lastRenderedPageBreak/>
              <w:t>động 2019 trong quy định về mức tiền lương tối thiểu vùng của người lao độ</w:t>
            </w:r>
            <w:r>
              <w:rPr>
                <w:rFonts w:ascii="Times" w:eastAsia="Times New Roman" w:hAnsi="Times"/>
              </w:rPr>
              <w:t>ng làm công việc hỗ trợ, phục vụ. Các đối tượng hợp đồng lao động làm công việc hỗ trợ, phục vụ trong đơn vị sự nghiệp công lập hiện nay nếu thực hiện ký hợp đồng áp dụng bảng lương theo bảng lương như đối tượng công chức, viên chức (Nghị định 204/2004/NĐ-</w:t>
            </w:r>
            <w:r>
              <w:rPr>
                <w:rFonts w:ascii="Times" w:eastAsia="Times New Roman" w:hAnsi="Times"/>
              </w:rPr>
              <w:t xml:space="preserve">CP ngày 14/12/2004) thì mức lương khởi điểm sẽ bị thấp hơn lương tối thiểu vùng theo quy định của Bộ luật Lao động năm 2019, khó tuyển đầu vào. Trường hợp đơn vị áp dụng lương tối thiều vùng, không áp dụng theo bảng lương tại Nghị định 204/2004/NĐ-CP ngày </w:t>
            </w:r>
            <w:r>
              <w:rPr>
                <w:rFonts w:ascii="Times" w:eastAsia="Times New Roman" w:hAnsi="Times"/>
              </w:rPr>
              <w:t xml:space="preserve">14/12/2004 thì người lao động tại một số vị trí sẽ không được áp dụng chi trả ưu đãi </w:t>
            </w:r>
            <w:r>
              <w:rPr>
                <w:rFonts w:ascii="Times" w:eastAsia="Times New Roman" w:hAnsi="Times"/>
              </w:rPr>
              <w:lastRenderedPageBreak/>
              <w:t xml:space="preserve">nghề theo Nghị định 56/2011/NĐ-CP ngày 04/07/2011 của Chính phủ quy định chế độ phụ cấp ưu đãi theo nghề đối với công chức, viên chức công tác tại các cơ sở y tế công lập </w:t>
            </w:r>
            <w:r>
              <w:rPr>
                <w:rFonts w:ascii="Times" w:eastAsia="Times New Roman" w:hAnsi="Times"/>
              </w:rPr>
              <w:t>và áp dụng chi trả phụ cấp đặc thù, phụ cấp chống dịch theo Quyết định số 73/2011/QĐ-TTg về việc quy định một số chế độ phụ cấp đặc thù đối với công chức, viên chức, người lao động trong các cơ sở y tế công lập và chế độ phụ cấp chống dịch.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w:t>
            </w:r>
            <w:r>
              <w:rPr>
                <w:rFonts w:ascii="Times" w:eastAsia="Times New Roman" w:hAnsi="Times"/>
              </w:rPr>
              <w:t xml:space="preserve">sung, thay thế, ban hành mới VBQPPL (theo </w:t>
            </w:r>
            <w:r>
              <w:rPr>
                <w:rFonts w:ascii="Times" w:eastAsia="Times New Roman" w:hAnsi="Times"/>
              </w:rPr>
              <w:lastRenderedPageBreak/>
              <w:t>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Bắc 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15:31:48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19 Nghị định số 154/2025/NĐ-CP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Quy định về tính toán lại chế độ tinh giản biên chế gây bất</w:t>
            </w:r>
            <w:r>
              <w:rPr>
                <w:rFonts w:ascii="Times" w:eastAsia="Times New Roman" w:hAnsi="Times"/>
              </w:rPr>
              <w:t xml:space="preserve"> bình đẳng giữa các đối tượng do phụ thuộc vào thời điểm chi trả, dẫn đến khiếu nại.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C. Sửa đổi, bổ sung, thay thế, ban hành mới VBQPPL (theo trình tự, thủ tục rút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Sở Tư pháp tỉnh Bắc 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15:31:48</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49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12 Nghị định 171/2025/NĐ-CP quy định về đào tạo, bồi dưỡng công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Chưa có hướng dẫn rõ về chương trình đào tạo, bồi dưỡng riêng phù hợp với công chức biệt phái tại cơ quan đại diện ở nước ngoài.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B. Hướng dẫn áp dụng VBQPPL theo quy định tại Đi</w:t>
            </w:r>
            <w:r>
              <w:rPr>
                <w:rFonts w:ascii="Times" w:eastAsia="Times New Roman" w:hAnsi="Times"/>
              </w:rPr>
              <w:t>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Bộ Ngoại giao</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14:15:04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50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Thông tư số 11/2020/TT-BLĐTBXH ngày 12/11/2020 của Bộ Lao động - Thương binh và Xã hội ban hành danh mục nghề, công việc nặng nhọc, độc hại, nguy hiểm và nghề, công việc đặc biết n</w:t>
            </w:r>
            <w:r>
              <w:rPr>
                <w:rFonts w:ascii="Times" w:eastAsia="Times New Roman" w:hAnsi="Times"/>
              </w:rPr>
              <w:t>ặng nhọc, độc hại, nguy hiểm.</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Đơn vị sự nghiệp công lập được giao nhiệm vụ Quản lý và vận hành Hệ thống xử lý nước thải tập trung tại các KCN trên địa bàn tỉnh. Điều kiện làm việc thực tế tại các Hệ thống phải thường xuyên tiếp xúc với hoá chất xử lý nướ</w:t>
            </w:r>
            <w:r>
              <w:rPr>
                <w:rFonts w:ascii="Times" w:eastAsia="Times New Roman" w:hAnsi="Times"/>
              </w:rPr>
              <w:t xml:space="preserve">c thải; Bên cạnh đó, việc sửa chữa, bảo trì các máy móc thiết bị khá nặng nhọc, nguy hiểm. - Tại Điều 1 của Thông tư đã liệt kê Danh mục Tên </w:t>
            </w:r>
            <w:r>
              <w:rPr>
                <w:rFonts w:ascii="Times" w:eastAsia="Times New Roman" w:hAnsi="Times"/>
              </w:rPr>
              <w:lastRenderedPageBreak/>
              <w:t>và Đặc điểm điều kiện lao động của các nghề, công việc năng nhọc, độc hại, nguy hiểm và nghề, công việc đặc biệt nặ</w:t>
            </w:r>
            <w:r>
              <w:rPr>
                <w:rFonts w:ascii="Times" w:eastAsia="Times New Roman" w:hAnsi="Times"/>
              </w:rPr>
              <w:t>ng nhọc, độc hại, nguy hiểm. Tuy nhiên, Thông tư chưa thể hiện và quy định cụ thể đối với công việc Vận hành Hệ thống xử lý nước thải tập trung trong khu sản xuất, kinh doanh, dịch vụ tập trung, cụm công nghiệp. Do đó, không có cơ sở chi hỗ trợ phụ cấp độc</w:t>
            </w:r>
            <w:r>
              <w:rPr>
                <w:rFonts w:ascii="Times" w:eastAsia="Times New Roman" w:hAnsi="Times"/>
              </w:rPr>
              <w:t xml:space="preserve"> hại, nguy hiểm cho viên chức.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An Giang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11:05:41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5 Nghị định 135/2020/NĐ-CP ngày 18/</w:t>
            </w:r>
            <w:r>
              <w:rPr>
                <w:rFonts w:ascii="Times" w:eastAsia="Times New Roman" w:hAnsi="Times"/>
              </w:rPr>
              <w:t>11/2020 quy định tuổi nghỉ hưu</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Trong quá trình nghiên cứu thực hiện Nghị định số 178/2024/NĐ-CP ngày 31/12/2024 của Chính phủ về chính sách, chế độ đối với cán bộ, công chức, viên chức, người lao động và lực lượng vũ trang trong thực hiện sắp xếp tổ chức b</w:t>
            </w:r>
            <w:r>
              <w:rPr>
                <w:rFonts w:ascii="Times" w:eastAsia="Times New Roman" w:hAnsi="Times"/>
              </w:rPr>
              <w:t xml:space="preserve">ộ máy của hệ thống chính trị (được sửa đổi, bổ sung </w:t>
            </w:r>
            <w:r>
              <w:rPr>
                <w:rFonts w:ascii="Times" w:eastAsia="Times New Roman" w:hAnsi="Times"/>
              </w:rPr>
              <w:lastRenderedPageBreak/>
              <w:t>tại Nghị định số 67/2025/NĐ-CP ngày 15/3/2025), Sở Nội vụ gặp khó khăn, vướng mắc trong việc xác định đối tượng là có thời gian công tác làm nghề, công việc nặng nhọc, độc hại, nguy hiểm hoặc đặc biệt nặn</w:t>
            </w:r>
            <w:r>
              <w:rPr>
                <w:rFonts w:ascii="Times" w:eastAsia="Times New Roman" w:hAnsi="Times"/>
              </w:rPr>
              <w:t>g nhọc, độc hại, nguy hiểm, cụ thể: Theo Khoản 1, Điều 5 Nghị định 135/2020/NĐ-CP ngày 18/11/2020 quy định tuổi nghỉ hưu: “1. Người lao động thuộc các trường hợp dưới đây có thể nghỉ hưu ở tuổi thấp hơn nhưng không quá 05 tuổi so với tuổi nghỉ hưu quy định</w:t>
            </w:r>
            <w:r>
              <w:rPr>
                <w:rFonts w:ascii="Times" w:eastAsia="Times New Roman" w:hAnsi="Times"/>
              </w:rPr>
              <w:t xml:space="preserve"> tại Điều 4 của Nghị định này tại thời điểm nghỉ hưu, trừ trường hợp pháp luật có quy định khác: a) Người lao động có từ đủ 15 năm trở lên làm nghề, công việc nặng nhọc, độc hại, nguy </w:t>
            </w:r>
            <w:r>
              <w:rPr>
                <w:rFonts w:ascii="Times" w:eastAsia="Times New Roman" w:hAnsi="Times"/>
              </w:rPr>
              <w:lastRenderedPageBreak/>
              <w:t>hiểm hoặc đặc biệt nặng nhọc, độc hại, nguy hiểm thuộc danh mục do Bộ La</w:t>
            </w:r>
            <w:r>
              <w:rPr>
                <w:rFonts w:ascii="Times" w:eastAsia="Times New Roman" w:hAnsi="Times"/>
              </w:rPr>
              <w:t>o động - Thương binh và Xã hội ban hành. b) Người lao động có từ đủ 15 năm trở lên làm việc ở vùng có điều kiện kinh tế - xã hội đặc biệt khó khăn, bao gồm cả thời gian làm việc ở nơi có phụ cấp khu vực hệ số 0,7 trở lên trước ngày 01 tháng 01 năm 2021. Tu</w:t>
            </w:r>
            <w:r>
              <w:rPr>
                <w:rFonts w:ascii="Times" w:eastAsia="Times New Roman" w:hAnsi="Times"/>
              </w:rPr>
              <w:t>y nhiên, theo Công văn số 1814/BNV-TCBC ngày 26/4/2025 của Bộ Nội vụ hướng dẫn thực hiện Nghị định số 178/2024/NĐ-CP, 67/2025/NĐ-CP: “Các trường hợp có đủ 15 năm trở lên làm nghề, công việc nặng nhọc, độc hại, nguy hiểm hoặc đặc biệt nặng nhọc, độc hại, ng</w:t>
            </w:r>
            <w:r>
              <w:rPr>
                <w:rFonts w:ascii="Times" w:eastAsia="Times New Roman" w:hAnsi="Times"/>
              </w:rPr>
              <w:t xml:space="preserve">uy hiểm hoặc có đủ 15 năm trở lên làm việc ở vùng có điều kiện kinh tế - xã hội </w:t>
            </w:r>
            <w:r>
              <w:rPr>
                <w:rFonts w:ascii="Times" w:eastAsia="Times New Roman" w:hAnsi="Times"/>
              </w:rPr>
              <w:lastRenderedPageBreak/>
              <w:t>đặc biệt khó khăn (bao gồm cả thời gian làm việc ở nơi có phụ cấp khu vực hệ số 0,7 trở lên trước ngày 01/01/2021 đủ điều kiện nghỉ hưu theo Phụ lục II, Nghị định số 135/2020/N</w:t>
            </w:r>
            <w:r>
              <w:rPr>
                <w:rFonts w:ascii="Times" w:eastAsia="Times New Roman" w:hAnsi="Times"/>
              </w:rPr>
              <w:t xml:space="preserve">Đ-CP của Chính phủ thì không thuộc đối tượng áp dụng Nghị định số 178/2024/NĐ-CP (được sửa đổi, bổ sung tại Nghị định số 67/2025/NĐ-CP).” Như vậy, đối với những người làm việc ở vùng có điều kiện kinh tế xã hội khó khăn hay làm nghề nặng nhọc độc hại nguy </w:t>
            </w:r>
            <w:r>
              <w:rPr>
                <w:rFonts w:ascii="Times" w:eastAsia="Times New Roman" w:hAnsi="Times"/>
              </w:rPr>
              <w:t xml:space="preserve">hiểm từ 15 năm trở có thể nghỉ hưu ở tuổi thấp hơn và đã đủ tuổi nghỉ theo Phụ lục II nhưng khi họ tiếp tục làm việc thì họ nghỉ lúc nào cũng được hưởng ngay lương hưu, nhưng không được chọn nghỉ theo Phụ lục I để được </w:t>
            </w:r>
            <w:r>
              <w:rPr>
                <w:rFonts w:ascii="Times" w:eastAsia="Times New Roman" w:hAnsi="Times"/>
              </w:rPr>
              <w:lastRenderedPageBreak/>
              <w:t>hưởng chính sách, chế độ theo Nghị đị</w:t>
            </w:r>
            <w:r>
              <w:rPr>
                <w:rFonts w:ascii="Times" w:eastAsia="Times New Roman" w:hAnsi="Times"/>
              </w:rPr>
              <w:t>nh số 178/2024/NĐ-CP, 67/2025/NĐ-CP.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Nghệ An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09:08:00</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1, Điều 5 Nghị định 135/2020/NĐ-CP ngày 18/11/2020 quy định tuổi nghỉ hưu</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Trong quá trình nghiên cứu thực hiện Nghị định số 178/2024/NĐ-CP ngày 31/12/2024 của Chính phủ về chính sách, chế độ đối với cán bộ, công chức, viên chức, người lao động và lực lượng vũ trang trong thực hiện sắp xếp tổ chức bộ máy của hệ thống chính trị (đ</w:t>
            </w:r>
            <w:r>
              <w:rPr>
                <w:rFonts w:ascii="Times" w:eastAsia="Times New Roman" w:hAnsi="Times"/>
              </w:rPr>
              <w:t xml:space="preserve">ược sửa đổi, bổ sung tại Nghị định số 67/2025/NĐ-CP ngày 15/3/2025), Sở Nội vụ gặp khó khăn, vướng mắc trong việc xác định đối tượng là có thời gian công tác làm nghề, công việc nặng nhọc, độc hại, nguy hiểm hoặc đặc biệt nặng nhọc, độc hại, nguy hiểm, cụ </w:t>
            </w:r>
            <w:r>
              <w:rPr>
                <w:rFonts w:ascii="Times" w:eastAsia="Times New Roman" w:hAnsi="Times"/>
              </w:rPr>
              <w:t xml:space="preserve">thể: Theo Khoản 1, Điều 5 Nghị định 135/2020/NĐ-CP ngày </w:t>
            </w:r>
            <w:r>
              <w:rPr>
                <w:rFonts w:ascii="Times" w:eastAsia="Times New Roman" w:hAnsi="Times"/>
              </w:rPr>
              <w:lastRenderedPageBreak/>
              <w:t>18/11/2020 quy định tuổi nghỉ hưu: “1. Người lao động thuộc các trường hợp dưới đây có thể nghỉ hưu ở tuổi thấp hơn nhưng không quá 05 tuổi so với tuổi nghỉ hưu quy định tại Điều 4 của Nghị định này t</w:t>
            </w:r>
            <w:r>
              <w:rPr>
                <w:rFonts w:ascii="Times" w:eastAsia="Times New Roman" w:hAnsi="Times"/>
              </w:rPr>
              <w:t xml:space="preserve">ại thời điểm nghỉ hưu, trừ trường hợp pháp luật có quy định khác: a) Người lao động có từ đủ 15 năm trở lên làm nghề, công việc nặng nhọc, độc hại, nguy hiểm hoặc đặc biệt nặng nhọc, độc hại, nguy hiểm thuộc danh mục do Bộ Lao động - Thương binh và Xã hội </w:t>
            </w:r>
            <w:r>
              <w:rPr>
                <w:rFonts w:ascii="Times" w:eastAsia="Times New Roman" w:hAnsi="Times"/>
              </w:rPr>
              <w:t xml:space="preserve">ban hành. b) Người lao động có từ đủ 15 năm trở lên làm việc ở vùng có điều kiện kinh tế - xã hội đặc biệt khó khăn, bao gồm cả thời gian làm việc ở nơi có phụ cấp khu vực hệ số 0,7 trở lên trước ngày 01 tháng 01 năm 2021. </w:t>
            </w:r>
            <w:r>
              <w:rPr>
                <w:rFonts w:ascii="Times" w:eastAsia="Times New Roman" w:hAnsi="Times"/>
              </w:rPr>
              <w:lastRenderedPageBreak/>
              <w:t>Tuy nhiên, theo Công văn số 1814/</w:t>
            </w:r>
            <w:r>
              <w:rPr>
                <w:rFonts w:ascii="Times" w:eastAsia="Times New Roman" w:hAnsi="Times"/>
              </w:rPr>
              <w:t>BNV-TCBC ngày 26/4/2025 của Bộ Nội vụ hướng dẫn thực hiện Nghị định số 178/2024/NĐ-CP, 67/2025/NĐ-CP: “Các trường hợp có đủ 15 năm trở lên làm nghề, công việc nặng nhọc, độc hại, nguy hiểm hoặc đặc biệt nặng nhọc, độc hại, nguy hiểm hoặc có đủ 15 năm trở l</w:t>
            </w:r>
            <w:r>
              <w:rPr>
                <w:rFonts w:ascii="Times" w:eastAsia="Times New Roman" w:hAnsi="Times"/>
              </w:rPr>
              <w:t>ên làm việc ở vùng có điều kiện kinh tế - xã hội đặc biệt khó khăn (bao gồm cả thời gian làm việc ở nơi có phụ cấp khu vực hệ số 0,7 trở lên trước ngày 01/01/2021 đủ điều kiện nghỉ hưu theo Phụ lục II, Nghị định số 135/2020/NĐ-CP của Chính phủ thì không th</w:t>
            </w:r>
            <w:r>
              <w:rPr>
                <w:rFonts w:ascii="Times" w:eastAsia="Times New Roman" w:hAnsi="Times"/>
              </w:rPr>
              <w:t xml:space="preserve">uộc đối tượng áp dụng Nghị định số 178/2024/NĐ-CP (được sửa đổi, bổ sung tại Nghị định số </w:t>
            </w:r>
            <w:r>
              <w:rPr>
                <w:rFonts w:ascii="Times" w:eastAsia="Times New Roman" w:hAnsi="Times"/>
              </w:rPr>
              <w:lastRenderedPageBreak/>
              <w:t xml:space="preserve">67/2025/NĐ-CP).” Như vậy, đối với những người làm việc ở vùng có điều kiện kinh tế xã hội khó khăn hay làm nghề nặng nhọc độc hại nguy hiểm từ 15 năm trở có thể nghỉ </w:t>
            </w:r>
            <w:r>
              <w:rPr>
                <w:rFonts w:ascii="Times" w:eastAsia="Times New Roman" w:hAnsi="Times"/>
              </w:rPr>
              <w:t>hưu ở tuổi thấp hơn và đã đủ tuổi nghỉ theo Phụ lục II nhưng khi họ tiếp tục làm việc thì họ nghỉ lúc nào cũng được hưởng ngay lương hưu, nhưng không được chọn nghỉ theo Phụ lục I để được hưởng chính sách, chế độ theo Nghị định số 178/2024/NĐ-CP, 67/2025/N</w:t>
            </w:r>
            <w:r>
              <w:rPr>
                <w:rFonts w:ascii="Times" w:eastAsia="Times New Roman" w:hAnsi="Times"/>
              </w:rPr>
              <w:t>Đ-CP.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Sở Tư pháp tỉnh Nghệ An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15-07-2025 08:32:11</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2, Điều 107, Bộ luật Lao động số 45/2019/QH14.</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Quy định cứng số giờ làm thêm không quá 40 giờ/tháng là không h</w:t>
            </w:r>
            <w:r>
              <w:rPr>
                <w:rFonts w:ascii="Times" w:eastAsia="Times New Roman" w:hAnsi="Times"/>
              </w:rPr>
              <w:t xml:space="preserve">ợp lý, không khả thi với các ngành sản xuất có tính thời vụ, phụ thuộc tiến độ dự án. Điều này gây khó khăn cho việc bố trí sản xuất của doanh nghiệp và hạn chế cơ hội tăng thu </w:t>
            </w:r>
            <w:r>
              <w:rPr>
                <w:rFonts w:ascii="Times" w:eastAsia="Times New Roman" w:hAnsi="Times"/>
              </w:rPr>
              <w:lastRenderedPageBreak/>
              <w:t>nhập của người lao động, dù tổng số giờ làm thêm năm vẫn trong giới hạn cho phé</w:t>
            </w:r>
            <w:r>
              <w:rPr>
                <w:rFonts w:ascii="Times" w:eastAsia="Times New Roman" w:hAnsi="Times"/>
              </w:rPr>
              <w:t>p (200-300 giờ/năm). Đề nghị sửa đổi, bổ sung Khoản 2 Điều 107 theo hướng linh hoạt hơn: Quy định tổng số giờ làm thêm theo quý (ví dụ: không quá 120 giờ/quý) thay vì theo tháng, hoặc cho phép thỏa thuận làm thêm vượt 40 giờ/tháng nhưng không quá 60 giờ/th</w:t>
            </w:r>
            <w:r>
              <w:rPr>
                <w:rFonts w:ascii="Times" w:eastAsia="Times New Roman" w:hAnsi="Times"/>
              </w:rPr>
              <w:t>áng, với điều kiện tổng số giờ làm thêm trong năm không vượt quá giới hạn quy định.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w:t>
            </w:r>
            <w:r>
              <w:rPr>
                <w:rFonts w:ascii="Times" w:eastAsia="Times New Roman" w:hAnsi="Times"/>
              </w:rPr>
              <w:lastRenderedPageBreak/>
              <w:t>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Tập đoàn công nghiệp Than - Khoáng sản Việt Nam</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13-07-2025 16:06:42</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Thông tư 45/2013/TT-BTC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TT45 chưa quy định cụ thể cách xác định giá trị tạm tính tài sản khi đưa vào vận hành chưa quyết toán. Đề nghị quy định rõ bao gồm giá trị đã ghi nhận trên TK 241 và phần giá trị đã thực hiện nhưng chưa đủ</w:t>
            </w:r>
            <w:r>
              <w:rPr>
                <w:rFonts w:ascii="Times" w:eastAsia="Times New Roman" w:hAnsi="Times"/>
              </w:rPr>
              <w:t xml:space="preserve"> hồ sơ ghi nhận </w:t>
            </w:r>
            <w:r>
              <w:rPr>
                <w:rFonts w:ascii="Times" w:eastAsia="Times New Roman" w:hAnsi="Times"/>
              </w:rPr>
              <w:lastRenderedPageBreak/>
              <w:t>vào TK 241</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w:t>
            </w:r>
            <w:r>
              <w:rPr>
                <w:rFonts w:ascii="Times" w:eastAsia="Times New Roman" w:hAnsi="Times"/>
              </w:rPr>
              <w:lastRenderedPageBreak/>
              <w:t>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Thông tư 202/2014 về hạch toán hợp nhất theo phương pháp vốn chủ đối với Cty liên kết có lỗ luỹ kế</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Phản ánh lỗ của Cty liên kết vào kết quả hợp nhất tương ứng tỷ lệ góp vốn do phải bảo lãnh khoản vay mặc dù đã trích lập hết giá trị khoản đầu tư. Sửa đổi để</w:t>
            </w:r>
            <w:r>
              <w:rPr>
                <w:rFonts w:ascii="Times" w:eastAsia="Times New Roman" w:hAnsi="Times"/>
              </w:rPr>
              <w:t xml:space="preserve"> phản ánh đúng trách nhiệm khoản bảo lãnh trên KQ SXKD hợp nhất của PVN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w:t>
            </w:r>
            <w:r>
              <w:rPr>
                <w:rFonts w:ascii="Times" w:eastAsia="Times New Roman" w:hAnsi="Times"/>
              </w:rPr>
              <w:t>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t>56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NĐ 123 (Điều 9.4.e) quy định về thời điểm kê khai, kỳ kê khaiNĐ 126 (Điều 8.1.e) quy định về thời điểm kê khai, kỳ kê khai NĐ 70 (Sửa đổi bổ sung NĐ 123) </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Vướng mắc khi phải phát hành hoá đơn hai (02) lần đối với mỗi tháng bán khí (N)</w:t>
            </w:r>
            <w:r>
              <w:rPr>
                <w:rFonts w:ascii="Times" w:eastAsia="Times New Roman" w:hAnsi="Times"/>
              </w:rPr>
              <w:t xml:space="preserve"> cho bên Mua (lần 1 ngày 20 tháng N+1, lần 2 khi xác định giá thanh toán chính thức ngày 8 tháng N+2)- Phải kê khai và điều chỉnh 02 lần: khả năng phát sinh </w:t>
            </w:r>
            <w:r>
              <w:rPr>
                <w:rFonts w:ascii="Times" w:eastAsia="Times New Roman" w:hAnsi="Times"/>
              </w:rPr>
              <w:lastRenderedPageBreak/>
              <w:t>chậm nộp nhưng không quy định việc miễn giảm trách nhiệm- Đề xuất quy định + Thời điểm xuất hóa đơn</w:t>
            </w:r>
            <w:r>
              <w:rPr>
                <w:rFonts w:ascii="Times" w:eastAsia="Times New Roman" w:hAnsi="Times"/>
              </w:rPr>
              <w:t xml:space="preserve"> GTGT đối với hoạt động bán khí là thời điểm Các bên Bán và Mua xác định được tỷ giá thanh toán chính thức (tháng N+2).+ Kỳ kê khai, nộp NSNN là tháng N+2.</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w:t>
            </w:r>
            <w:r>
              <w:rPr>
                <w:rFonts w:ascii="Times" w:eastAsia="Times New Roman" w:hAnsi="Times"/>
              </w:rPr>
              <w:lastRenderedPageBreak/>
              <w:t>VBQPPL c</w:t>
            </w:r>
            <w:r>
              <w:rPr>
                <w:rFonts w:ascii="Times" w:eastAsia="Times New Roman" w:hAnsi="Times"/>
              </w:rPr>
              <w:t>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Khoản 2 Điều 9 Nghị định số 44/2025/NĐ-CP:Đối với doanh nghiệp không có lợi nhuận hoặc lỗ thì mức tiền lương bình quân (của Người lao động và Ban điều hành) bằng mức tiền lương theo chế độ.</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Mức tiền lương chế độ là mức lương ký HĐLĐ của người lao động làm </w:t>
            </w:r>
            <w:r>
              <w:rPr>
                <w:rFonts w:ascii="Times" w:eastAsia="Times New Roman" w:hAnsi="Times"/>
              </w:rPr>
              <w:t xml:space="preserve">việc theo HĐLĐ, mức tiền lương của Ban điều hành (trong đó mức tiền lương bình quân của BĐH không vượt quá mức tiền lương của Thành viên hội đồng). Trong khi đó, Mức tiền lương của Ban điều hành do doanh nghiệp xây dựng, trả theo chức danh, chức vụ và kết </w:t>
            </w:r>
            <w:r>
              <w:rPr>
                <w:rFonts w:ascii="Times" w:eastAsia="Times New Roman" w:hAnsi="Times"/>
              </w:rPr>
              <w:t xml:space="preserve">quả sản xuất, kinh doanh, trong đó mức tiền lương của TGĐ tối </w:t>
            </w:r>
            <w:r>
              <w:rPr>
                <w:rFonts w:ascii="Times" w:eastAsia="Times New Roman" w:hAnsi="Times"/>
              </w:rPr>
              <w:lastRenderedPageBreak/>
              <w:t xml:space="preserve">đa không vượt quá 10 lần so với mức tiền lương bình quân của người lao động, vậy mức tiền lương của BĐH và TVHĐ, KSV chưa phù hợp như sau:- Mức tiền lương theo HĐLĐ của người lao động bình quân </w:t>
            </w:r>
            <w:r>
              <w:rPr>
                <w:rFonts w:ascii="Times" w:eastAsia="Times New Roman" w:hAnsi="Times"/>
              </w:rPr>
              <w:t>hiện nay là 8 tr, vậy mức tiền lương của TGĐ tối đa là 80 triệu (tính bằng 10 lần tiền lương bình quân theo HĐLĐ của NLĐ)- Mức lương của TVHĐ, KSV đối với Công ty lỗ (theo quy định tại khoản 3 Điều 21 Nghị định số 44/2025/NĐ-CP) thì mức tiền lương thực hiệ</w:t>
            </w:r>
            <w:r>
              <w:rPr>
                <w:rFonts w:ascii="Times" w:eastAsia="Times New Roman" w:hAnsi="Times"/>
              </w:rPr>
              <w:t>n là 50% mức lương cơ bản quy định tại Điều 20 NĐ 44, tương ứng bình quân là 18 triệu (dự kiến tính theo mức 2 của Nhóm II)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Tập đoà</w:t>
            </w:r>
            <w:r>
              <w:rPr>
                <w:rFonts w:ascii="Times" w:eastAsia="Times New Roman" w:hAnsi="Times"/>
              </w:rPr>
              <w:t xml:space="preserve">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Khoản 3 Điều 21 Nghị định số 44/2025/NĐ-CP: Đối với doanh </w:t>
            </w:r>
            <w:r>
              <w:rPr>
                <w:rFonts w:ascii="Times" w:eastAsia="Times New Roman" w:hAnsi="Times"/>
              </w:rPr>
              <w:lastRenderedPageBreak/>
              <w:t>nghiệp lỗ thì mức tiền lương kế hoạch tối đa bằng 50% mức lương cơ bản</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Khi đó 50% mức lương cơ bản sẽ thấp hơn so với mức lươn</w:t>
            </w:r>
            <w:r>
              <w:rPr>
                <w:rFonts w:ascii="Times" w:eastAsia="Times New Roman" w:hAnsi="Times"/>
              </w:rPr>
              <w:t xml:space="preserve">g chế độ quy định tại Nghị định </w:t>
            </w:r>
            <w:r>
              <w:rPr>
                <w:rFonts w:ascii="Times" w:eastAsia="Times New Roman" w:hAnsi="Times"/>
              </w:rPr>
              <w:lastRenderedPageBreak/>
              <w:t>52/2016/NĐ-CP, với mức tiền lương này là chưa phù hợp với mục tiêu cải cách tiền lương.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w:t>
            </w:r>
            <w:r>
              <w:rPr>
                <w:rFonts w:ascii="Times" w:eastAsia="Times New Roman" w:hAnsi="Times"/>
              </w:rPr>
              <w:lastRenderedPageBreak/>
              <w:t>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Tập đoàn Cô</w:t>
            </w:r>
            <w:r>
              <w:rPr>
                <w:rFonts w:ascii="Times" w:eastAsia="Times New Roman" w:hAnsi="Times"/>
              </w:rPr>
              <w:t xml:space="preserve">ng nghiệp - Năng </w:t>
            </w:r>
            <w:r>
              <w:rPr>
                <w:rFonts w:ascii="Times" w:eastAsia="Times New Roman" w:hAnsi="Times"/>
              </w:rPr>
              <w:lastRenderedPageBreak/>
              <w:t xml:space="preserve">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59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Điểm a Khoản 1 Điều 36 Bộ Luật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Điểm a khoản 1 Điều 36 Bộ Luật Lao động 2019 quy định về quyền đơn phương chấm dứt HĐLĐ của Người sử dụng lao động, theo đó, Người sử dụng lao động </w:t>
            </w:r>
            <w:r>
              <w:rPr>
                <w:rFonts w:ascii="Times" w:eastAsia="Times New Roman" w:hAnsi="Times"/>
              </w:rPr>
              <w:t xml:space="preserve">có quyền đơn phương chấm dứt HĐLĐ trong trưởng hợp sau: "Người lao động thường xuyên không hoàn thành công việc theo hợp đồng lao động được xác định theo tiêu chí đánh giá mức độ hoàn thành công việc trong quy chế của người sử dụng lao động. Quy chế đánh </w:t>
            </w:r>
            <w:r>
              <w:rPr>
                <w:rFonts w:ascii="Times" w:eastAsia="Times New Roman" w:hAnsi="Times"/>
              </w:rPr>
              <w:lastRenderedPageBreak/>
              <w:t>g</w:t>
            </w:r>
            <w:r>
              <w:rPr>
                <w:rFonts w:ascii="Times" w:eastAsia="Times New Roman" w:hAnsi="Times"/>
              </w:rPr>
              <w:t>iá mức độ hoàn thành công việc do người sử dụng lao động ban hành nhưng phải tham khảo ý kiến tổ chức đại diện người lao động tại cơ sở đối với nơi có tổ chức đại diện người lao động tại cơ sở". Khái niệm "thường xuyên không hoàn thành công việc" chưa được</w:t>
            </w:r>
            <w:r>
              <w:rPr>
                <w:rFonts w:ascii="Times" w:eastAsia="Times New Roman" w:hAnsi="Times"/>
              </w:rPr>
              <w:t xml:space="preserve"> quy định rõ trong các văn bản pháp luật, từ đó nhiều doanh nghiệp có các quy định khác nhau dẫn đễn chưa thống nhất trong cách đánh giá mức độ thưởng xuyên không hoàn thành nhiệm vụ.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w:t>
            </w:r>
            <w:r>
              <w:rPr>
                <w:rFonts w:ascii="Times" w:eastAsia="Times New Roman" w:hAnsi="Times"/>
              </w:rPr>
              <w:t>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60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 Khoản 2 Điều 11 Nghị định 28/2015/NĐ-CP hướng dẫn Luật Việc làm về bảo hiểm thất nghiệp </w:t>
            </w:r>
            <w:r>
              <w:rPr>
                <w:rFonts w:ascii="Times" w:eastAsia="Times New Roman" w:hAnsi="Times"/>
              </w:rPr>
              <w:t xml:space="preserve">- Khoản 6 Điều 42 Quyết định 595/QĐ-BHXH ban hành ngày 14/04/2017 Quy </w:t>
            </w:r>
            <w:r>
              <w:rPr>
                <w:rFonts w:ascii="Times" w:eastAsia="Times New Roman" w:hAnsi="Times"/>
              </w:rPr>
              <w:lastRenderedPageBreak/>
              <w:t>trình thu bảo hiểm xã hội, bảo hiểm y tế, bảo hiểm thất nghiệp, bảo hiểm tai nạn lao động, bệnh nghề nghiệp; cấp sổ bảo hiểm xã hội, thẻ bảo hiểm y tế</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Khoản 2 Điều 11 Nghị định 28/2015</w:t>
            </w:r>
            <w:r>
              <w:rPr>
                <w:rFonts w:ascii="Times" w:eastAsia="Times New Roman" w:hAnsi="Times"/>
              </w:rPr>
              <w:t xml:space="preserve">/NĐ-CP quy định "Trường hợp người lao động nghỉ việc hưởng chế độ thai sản hoặc ốm đau từ 14 ngày làm việc trở lên không hưởng tiền lương tháng tại đơn vị mà hưởng trợ cấp bảo </w:t>
            </w:r>
            <w:r>
              <w:rPr>
                <w:rFonts w:ascii="Times" w:eastAsia="Times New Roman" w:hAnsi="Times"/>
              </w:rPr>
              <w:lastRenderedPageBreak/>
              <w:t>hiểm xã hội, người lao động tạm hoãn thực hiện hợp đồng lao động hoặc hợp đồng l</w:t>
            </w:r>
            <w:r>
              <w:rPr>
                <w:rFonts w:ascii="Times" w:eastAsia="Times New Roman" w:hAnsi="Times"/>
              </w:rPr>
              <w:t xml:space="preserve">àm việc đã giao kết theo quy định của pháp luật thì người lao động không thuộc đối tượng tham gia bảo hiểm thất nghiệp trong thời gian này.". - Khoản 6 Điều 42 Quyết định 595/QĐ-BHXH quy định: "Người lao động nghỉ việc hưởng chế độ thai sản từ 14 ngày làm </w:t>
            </w:r>
            <w:r>
              <w:rPr>
                <w:rFonts w:ascii="Times" w:eastAsia="Times New Roman" w:hAnsi="Times"/>
              </w:rPr>
              <w:t>việc trở lên trong tháng thì đơn vị và người lao động không phải đóng BHXH, BHTN, BHTNLĐ, BNN, thời gian này được tính là thời gian đóng BHXH, không được tính là thời gian đóng BHTN và được cơ quan BHXH đóng BHYT cho người lao động.". Như vậy, việc quy địn</w:t>
            </w:r>
            <w:r>
              <w:rPr>
                <w:rFonts w:ascii="Times" w:eastAsia="Times New Roman" w:hAnsi="Times"/>
              </w:rPr>
              <w:t xml:space="preserve">h người lao động nghỉ việc hưởng chế độ thai sản từ 14 ngày làm việc trở </w:t>
            </w:r>
            <w:r>
              <w:rPr>
                <w:rFonts w:ascii="Times" w:eastAsia="Times New Roman" w:hAnsi="Times"/>
              </w:rPr>
              <w:lastRenderedPageBreak/>
              <w:t xml:space="preserve">lên trong tháng được tính là thời gian đóng BHXH nhưng không được tính là thời gian đóng BHTN là chưa đồng bộ. Việc không được tính là thời gian đóng BHTN sẽ thiệt thòi cho Người lao </w:t>
            </w:r>
            <w:r>
              <w:rPr>
                <w:rFonts w:ascii="Times" w:eastAsia="Times New Roman" w:hAnsi="Times"/>
              </w:rPr>
              <w:t>động khi người lao động nghỉ việc và hưởng BHTN.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w:t>
            </w:r>
            <w:r>
              <w:rPr>
                <w:rFonts w:ascii="Times" w:eastAsia="Times New Roman" w:hAnsi="Times"/>
              </w:rPr>
              <w:lastRenderedPageBreak/>
              <w:t>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61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Ngh</w:t>
            </w:r>
            <w:r>
              <w:rPr>
                <w:rFonts w:ascii="Times" w:eastAsia="Times New Roman" w:hAnsi="Times"/>
              </w:rPr>
              <w:t xml:space="preserve">ị định số 44/2025/NĐ-CP về quản lý lao động, tiền lương, thù lao, tiền thưởng trong doanh nghiệp nhà nước. Điều 4Điều 21. </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Điều 4. Các yếu tố khách quan loại trừ khi xác định tiền lươngLĩnh vực thăm dò khai thác dầu khí là một ngành kinh tế đặc thù, tiềm ẩ</w:t>
            </w:r>
            <w:r>
              <w:rPr>
                <w:rFonts w:ascii="Times" w:eastAsia="Times New Roman" w:hAnsi="Times"/>
              </w:rPr>
              <w:t>n nhiều rủi ro ảnh hưởng đến kết quả tìm kiếm thăm dò và sản lượng khai thác, doanh thu,… trong khi chưa có quy định các yếu tố khách quan tác động đến năng suất lao động và lợi nhuận cần loại trừ khi xác định tiền lương như: suy giảm sản lượng khai thác v</w:t>
            </w:r>
            <w:r>
              <w:rPr>
                <w:rFonts w:ascii="Times" w:eastAsia="Times New Roman" w:hAnsi="Times"/>
              </w:rPr>
              <w:t xml:space="preserve">à trữ lượng khai thác do yếu tố đặc thù </w:t>
            </w:r>
            <w:r>
              <w:rPr>
                <w:rFonts w:ascii="Times" w:eastAsia="Times New Roman" w:hAnsi="Times"/>
              </w:rPr>
              <w:lastRenderedPageBreak/>
              <w:t>của mỏ khai thác dầu khí, giá dầu thô xuất bán hoàn toàn chịu tác động bởi sự tăng giảm của giá dầu thế giới, nằm ngoài sự kiểm soát của PVN/PVEP.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C. Sửa đổi, bổ sung, thay thế, ban hành mới VBQPPL (theo trình tự, th</w:t>
            </w:r>
            <w:r>
              <w:rPr>
                <w:rFonts w:ascii="Times" w:eastAsia="Times New Roman" w:hAnsi="Times"/>
              </w:rPr>
              <w:t>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62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sz w:val="24"/>
                <w:szCs w:val="24"/>
              </w:rPr>
            </w:pPr>
            <w:r>
              <w:rPr>
                <w:rFonts w:ascii="Times" w:eastAsia="Times New Roman" w:hAnsi="Times"/>
              </w:rPr>
              <w:t xml:space="preserve">Điều 21. Mức tiền lương kế hoạch của Thành viên hội đồng, Kiểm soát viên làm việc chuyên trách được xác định trên cơ sở </w:t>
            </w:r>
            <w:r>
              <w:rPr>
                <w:rFonts w:ascii="Times" w:eastAsia="Times New Roman" w:hAnsi="Times"/>
              </w:rPr>
              <w:t>mức lương cơ bản và chỉ tiêu lợi nhuận, tỷ suất lợi nhuận kế hoạch:- Trong trường hợp lợi nhuận trước thuế (LNTT) và tỷ suất lợi nhuận (TSLN) kế hoạch thấp hơn thực hiện năm trước liền kề, mức tiền lương kế hoạch của TVHĐ, KSV được xác định bằng 70% nhân v</w:t>
            </w:r>
            <w:r>
              <w:rPr>
                <w:rFonts w:ascii="Times" w:eastAsia="Times New Roman" w:hAnsi="Times"/>
              </w:rPr>
              <w:t xml:space="preserve">ới 02 lần mức lương cơ bản nhân với tỷ lệ LNTT hoặc TSLN kế hoạch so với năm trước liền kề có giá trị thấp hơn, nhưng không thấp hơn </w:t>
            </w:r>
            <w:r>
              <w:rPr>
                <w:rFonts w:ascii="Times" w:eastAsia="Times New Roman" w:hAnsi="Times"/>
              </w:rPr>
              <w:lastRenderedPageBreak/>
              <w:t xml:space="preserve">80% lương cơ bản (Điều 21.1 NĐ 44). Theo số liệu thực tế năm 2025 của PVEP, mức tiền mức tiền lương kế hoạch của TVHĐ, KSV </w:t>
            </w:r>
            <w:r>
              <w:rPr>
                <w:rFonts w:ascii="Times" w:eastAsia="Times New Roman" w:hAnsi="Times"/>
              </w:rPr>
              <w:t>xác định theo NĐ 44 chỉ bằng bảng 80% mức tiền lương bình quân kế hoạch xác định theo Nghị định 21/2024/NĐ-CP (NĐ 21), đồng thời thấp hơn mức tiền lương của các chức danh tương đương trong ngành Dầu khí và trên thị trường.Bên cạnh đó, doanh nghiệp chỉ được</w:t>
            </w:r>
            <w:r>
              <w:rPr>
                <w:rFonts w:ascii="Times" w:eastAsia="Times New Roman" w:hAnsi="Times"/>
              </w:rPr>
              <w:t xml:space="preserve"> áp dụng mức tiền lương kế hoạch tối đa bằng 02 lần mức lương cơ bản khi có LNTT kế hoạch không thấp hơn thực hiện năm trước liền kề (Điều 21.1 NĐ 44). Đây là thách thức rất lớn đối với doanh nghiệp đạt mức LNTT thực hiện những năm gần đây trên 14.000 tỷ </w:t>
            </w:r>
            <w:r>
              <w:rPr>
                <w:rFonts w:ascii="Times" w:eastAsia="Times New Roman" w:hAnsi="Times"/>
              </w:rPr>
              <w:lastRenderedPageBreak/>
              <w:t>đ</w:t>
            </w:r>
            <w:r>
              <w:rPr>
                <w:rFonts w:ascii="Times" w:eastAsia="Times New Roman" w:hAnsi="Times"/>
              </w:rPr>
              <w:t>ồng như PVEP.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r w:rsidR="00000000">
        <w:trPr>
          <w:divId w:val="876310520"/>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rPr>
            </w:pPr>
            <w:r>
              <w:rPr>
                <w:rFonts w:ascii="Times" w:eastAsia="Times New Roman" w:hAnsi="Times"/>
              </w:rPr>
              <w:lastRenderedPageBreak/>
              <w:t>63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Điều 20 Nghị định 44/2016/NĐ-CP ngày 15/5/2016 Quy định chi tiết </w:t>
            </w:r>
            <w:r>
              <w:rPr>
                <w:rFonts w:ascii="Times" w:eastAsia="Times New Roman" w:hAnsi="Times"/>
              </w:rPr>
              <w:t>một số điều của luật ATVSLĐ về hoạt động kiểm định kỹ thuật ATLĐ, VSLĐ và quan trắc MTLĐ: Chương trình khung và chương trình, tài liệu huấn luyện</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1. Chưa qui định cụ thể về hình thức huấn luyện và kiểm tra/sát hạch trên các phần mềm đối với các khóa học an</w:t>
            </w:r>
            <w:r>
              <w:rPr>
                <w:rFonts w:ascii="Times" w:eastAsia="Times New Roman" w:hAnsi="Times"/>
              </w:rPr>
              <w:t xml:space="preserve"> toàn, vệ sinh lao động. 2. Điều 20: Chương trình khung và chương trình, tài liệu huấn luyện Chưa qui định cụ thể về hình thức huấn luyện và kiểm tra/sát hạch trên các phần mềm đối với các khóa học an toàn, vệ sinh lao động.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B. Hướng dẫn áp dụng VBQPPL th</w:t>
            </w:r>
            <w:r>
              <w:rPr>
                <w:rFonts w:ascii="Times" w:eastAsia="Times New Roman" w:hAnsi="Times"/>
              </w:rPr>
              <w:t>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2350A">
            <w:pPr>
              <w:jc w:val="center"/>
              <w:rPr>
                <w:rFonts w:ascii="Times" w:eastAsia="Times New Roman" w:hAnsi="Times"/>
                <w:sz w:val="24"/>
                <w:szCs w:val="24"/>
              </w:rPr>
            </w:pPr>
            <w:r>
              <w:rPr>
                <w:rFonts w:ascii="Times" w:eastAsia="Times New Roman" w:hAnsi="Times"/>
              </w:rPr>
              <w:t>11-07-2025 15:45:54</w:t>
            </w:r>
          </w:p>
        </w:tc>
      </w:tr>
    </w:tbl>
    <w:p w:rsidR="0012350A" w:rsidRDefault="0012350A">
      <w:pPr>
        <w:divId w:val="876310520"/>
        <w:rPr>
          <w:rFonts w:eastAsia="Times New Roman"/>
        </w:rPr>
      </w:pPr>
    </w:p>
    <w:sectPr w:rsidR="0012350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EC1"/>
    <w:rsid w:val="000E23F2"/>
    <w:rsid w:val="0012350A"/>
    <w:rsid w:val="00182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A44DD0-AD56-41B7-BF0F-E529FAE7F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109024">
      <w:marLeft w:val="0"/>
      <w:marRight w:val="0"/>
      <w:marTop w:val="0"/>
      <w:marBottom w:val="0"/>
      <w:divBdr>
        <w:top w:val="none" w:sz="0" w:space="0" w:color="auto"/>
        <w:left w:val="none" w:sz="0" w:space="0" w:color="auto"/>
        <w:bottom w:val="none" w:sz="0" w:space="0" w:color="auto"/>
        <w:right w:val="none" w:sz="0" w:space="0" w:color="auto"/>
      </w:divBdr>
      <w:divsChild>
        <w:div w:id="871189832">
          <w:marLeft w:val="0"/>
          <w:marRight w:val="0"/>
          <w:marTop w:val="0"/>
          <w:marBottom w:val="0"/>
          <w:divBdr>
            <w:top w:val="none" w:sz="0" w:space="0" w:color="auto"/>
            <w:left w:val="none" w:sz="0" w:space="0" w:color="auto"/>
            <w:bottom w:val="none" w:sz="0" w:space="0" w:color="auto"/>
            <w:right w:val="none" w:sz="0" w:space="0" w:color="auto"/>
          </w:divBdr>
          <w:divsChild>
            <w:div w:id="918712703">
              <w:marLeft w:val="0"/>
              <w:marRight w:val="0"/>
              <w:marTop w:val="0"/>
              <w:marBottom w:val="0"/>
              <w:divBdr>
                <w:top w:val="none" w:sz="0" w:space="0" w:color="auto"/>
                <w:left w:val="none" w:sz="0" w:space="0" w:color="auto"/>
                <w:bottom w:val="none" w:sz="0" w:space="0" w:color="auto"/>
                <w:right w:val="none" w:sz="0" w:space="0" w:color="auto"/>
              </w:divBdr>
              <w:divsChild>
                <w:div w:id="529729384">
                  <w:marLeft w:val="0"/>
                  <w:marRight w:val="0"/>
                  <w:marTop w:val="0"/>
                  <w:marBottom w:val="0"/>
                  <w:divBdr>
                    <w:top w:val="none" w:sz="0" w:space="0" w:color="auto"/>
                    <w:left w:val="none" w:sz="0" w:space="0" w:color="auto"/>
                    <w:bottom w:val="none" w:sz="0" w:space="0" w:color="auto"/>
                    <w:right w:val="none" w:sz="0" w:space="0" w:color="auto"/>
                  </w:divBdr>
                  <w:divsChild>
                    <w:div w:id="87631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443256">
      <w:marLeft w:val="0"/>
      <w:marRight w:val="0"/>
      <w:marTop w:val="0"/>
      <w:marBottom w:val="0"/>
      <w:divBdr>
        <w:top w:val="none" w:sz="0" w:space="0" w:color="auto"/>
        <w:left w:val="none" w:sz="0" w:space="0" w:color="auto"/>
        <w:bottom w:val="none" w:sz="0" w:space="0" w:color="auto"/>
        <w:right w:val="none" w:sz="0" w:space="0" w:color="auto"/>
      </w:divBdr>
      <w:divsChild>
        <w:div w:id="2675883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86</Pages>
  <Words>11237</Words>
  <Characters>64053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2025-07-16T08:36:00Z</dcterms:created>
  <dcterms:modified xsi:type="dcterms:W3CDTF">2025-07-16T08:36:00Z</dcterms:modified>
</cp:coreProperties>
</file>